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8359B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8359B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0A5D4524" w:rsidR="009C2829" w:rsidRPr="000257FB" w:rsidRDefault="004C7065" w:rsidP="004938E0">
            <w:pPr>
              <w:pStyle w:val="Header"/>
              <w:jc w:val="center"/>
              <w:rPr>
                <w:rFonts w:asciiTheme="majorHAnsi" w:hAnsiTheme="majorHAnsi"/>
                <w:b/>
              </w:rPr>
            </w:pPr>
            <w:r>
              <w:rPr>
                <w:rFonts w:asciiTheme="majorHAnsi" w:hAnsiTheme="majorHAnsi"/>
                <w:b/>
                <w:sz w:val="22"/>
              </w:rPr>
              <w:t>August 3</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6B227594" w:rsidR="00936B3A" w:rsidRDefault="00936B3A" w:rsidP="003F0266">
            <w:pPr>
              <w:rPr>
                <w:rFonts w:ascii="Calibri Light" w:hAnsi="Calibri Light"/>
                <w:noProof/>
                <w:sz w:val="20"/>
              </w:rPr>
            </w:pPr>
          </w:p>
          <w:p w14:paraId="22C13364" w14:textId="77777777" w:rsidR="00936B3A" w:rsidRDefault="008359B5" w:rsidP="008B6179">
            <w:pPr>
              <w:rPr>
                <w:rFonts w:ascii="Calibri Light" w:hAnsi="Calibri Light"/>
                <w:b/>
                <w:noProof/>
                <w:sz w:val="20"/>
              </w:rPr>
            </w:pPr>
            <w:r>
              <w:rPr>
                <w:rFonts w:ascii="Calibri Light" w:hAnsi="Calibri Light"/>
                <w:b/>
                <w:noProof/>
                <w:sz w:val="20"/>
              </w:rPr>
              <w:t>OCE</w:t>
            </w:r>
          </w:p>
          <w:p w14:paraId="127E3C25" w14:textId="77777777" w:rsidR="008359B5" w:rsidRPr="008359B5" w:rsidRDefault="008359B5" w:rsidP="008359B5">
            <w:pPr>
              <w:rPr>
                <w:rFonts w:ascii="Calibri Light" w:hAnsi="Calibri Light"/>
                <w:bCs/>
                <w:noProof/>
                <w:sz w:val="20"/>
              </w:rPr>
            </w:pPr>
            <w:r w:rsidRPr="008359B5">
              <w:rPr>
                <w:rFonts w:ascii="Calibri Light" w:hAnsi="Calibri Light"/>
                <w:bCs/>
                <w:noProof/>
                <w:sz w:val="20"/>
              </w:rPr>
              <w:t>SAVE THE DATE – OCTOBER 7</w:t>
            </w:r>
            <w:r w:rsidRPr="008359B5">
              <w:rPr>
                <w:rFonts w:ascii="Calibri Light" w:hAnsi="Calibri Light"/>
                <w:bCs/>
                <w:noProof/>
                <w:sz w:val="20"/>
                <w:vertAlign w:val="superscript"/>
              </w:rPr>
              <w:t>TH</w:t>
            </w:r>
            <w:r w:rsidRPr="008359B5">
              <w:rPr>
                <w:rFonts w:ascii="Calibri Light" w:hAnsi="Calibri Light"/>
                <w:bCs/>
                <w:noProof/>
                <w:sz w:val="20"/>
              </w:rPr>
              <w:t xml:space="preserve"> – TOP DOC AWARD CEREMONY</w:t>
            </w:r>
          </w:p>
          <w:p w14:paraId="0FD6181C" w14:textId="77777777" w:rsidR="008359B5" w:rsidRPr="008359B5" w:rsidRDefault="008359B5" w:rsidP="008359B5">
            <w:pPr>
              <w:rPr>
                <w:rFonts w:ascii="Calibri Light" w:hAnsi="Calibri Light"/>
                <w:noProof/>
                <w:sz w:val="20"/>
              </w:rPr>
            </w:pPr>
            <w:r w:rsidRPr="008359B5">
              <w:rPr>
                <w:rFonts w:ascii="Calibri Light" w:hAnsi="Calibri Light"/>
                <w:noProof/>
                <w:sz w:val="20"/>
              </w:rPr>
              <w:t>The Top Doc Award Ceremony will be held on October 7, 2017 from 6:00 – 9:00 pm at the Moody Gardens Convention Center.</w:t>
            </w:r>
          </w:p>
          <w:p w14:paraId="23679449" w14:textId="77777777" w:rsidR="008359B5" w:rsidRDefault="008359B5" w:rsidP="008359B5">
            <w:pPr>
              <w:rPr>
                <w:rFonts w:ascii="Calibri Light" w:hAnsi="Calibri Light"/>
                <w:noProof/>
                <w:sz w:val="20"/>
              </w:rPr>
            </w:pPr>
            <w:r w:rsidRPr="008359B5">
              <w:rPr>
                <w:rFonts w:ascii="Calibri Light" w:hAnsi="Calibri Light"/>
                <w:noProof/>
                <w:sz w:val="20"/>
              </w:rPr>
              <w:t>The Selection Committee has convened and the Top Doc selections will be revealed at the ceremony.  Please be sure to mark your calendars!</w:t>
            </w:r>
          </w:p>
          <w:p w14:paraId="67247A26" w14:textId="77777777" w:rsidR="008359B5" w:rsidRDefault="008359B5" w:rsidP="008359B5">
            <w:pPr>
              <w:rPr>
                <w:rFonts w:ascii="Calibri Light" w:hAnsi="Calibri Light"/>
                <w:noProof/>
                <w:sz w:val="20"/>
              </w:rPr>
            </w:pPr>
          </w:p>
          <w:p w14:paraId="7D6EE6A2" w14:textId="2292C519" w:rsidR="008359B5" w:rsidRDefault="008359B5" w:rsidP="008359B5">
            <w:pPr>
              <w:rPr>
                <w:rFonts w:ascii="Calibri Light" w:hAnsi="Calibri Light"/>
                <w:noProof/>
                <w:sz w:val="20"/>
              </w:rPr>
            </w:pPr>
            <w:r>
              <w:rPr>
                <w:rFonts w:ascii="Calibri Light" w:hAnsi="Calibri Light"/>
                <w:b/>
                <w:noProof/>
                <w:sz w:val="20"/>
              </w:rPr>
              <w:t>OED</w:t>
            </w:r>
          </w:p>
          <w:p w14:paraId="541B47FB" w14:textId="37201386" w:rsidR="008359B5" w:rsidRDefault="008359B5" w:rsidP="008359B5">
            <w:pPr>
              <w:rPr>
                <w:rFonts w:ascii="Calibri Light" w:hAnsi="Calibri Light"/>
                <w:noProof/>
                <w:sz w:val="20"/>
              </w:rPr>
            </w:pPr>
            <w:r w:rsidRPr="008359B5">
              <w:rPr>
                <w:rFonts w:ascii="Calibri Light" w:hAnsi="Calibri Light"/>
                <w:noProof/>
                <w:sz w:val="20"/>
              </w:rPr>
              <w:t xml:space="preserve">Valerie Lugo </w:t>
            </w:r>
            <w:r>
              <w:rPr>
                <w:rFonts w:ascii="Calibri Light" w:hAnsi="Calibri Light"/>
                <w:noProof/>
                <w:sz w:val="20"/>
              </w:rPr>
              <w:t xml:space="preserve">from ORME-Austin </w:t>
            </w:r>
            <w:r w:rsidRPr="008359B5">
              <w:rPr>
                <w:rFonts w:ascii="Calibri Light" w:hAnsi="Calibri Light"/>
                <w:noProof/>
                <w:sz w:val="20"/>
              </w:rPr>
              <w:t>is leaving</w:t>
            </w:r>
            <w:r>
              <w:rPr>
                <w:rFonts w:ascii="Calibri Light" w:hAnsi="Calibri Light"/>
                <w:noProof/>
                <w:sz w:val="20"/>
              </w:rPr>
              <w:t xml:space="preserve"> UTMB;</w:t>
            </w:r>
            <w:r w:rsidRPr="008359B5">
              <w:rPr>
                <w:rFonts w:ascii="Calibri Light" w:hAnsi="Calibri Light"/>
                <w:noProof/>
                <w:sz w:val="20"/>
              </w:rPr>
              <w:t xml:space="preserve"> her last</w:t>
            </w:r>
            <w:r>
              <w:rPr>
                <w:rFonts w:ascii="Calibri Light" w:hAnsi="Calibri Light"/>
                <w:noProof/>
                <w:sz w:val="20"/>
              </w:rPr>
              <w:t xml:space="preserve"> day is August 17, 2017.</w:t>
            </w:r>
          </w:p>
          <w:p w14:paraId="29B55D68" w14:textId="77777777" w:rsidR="008359B5" w:rsidRDefault="008359B5" w:rsidP="008359B5">
            <w:pPr>
              <w:rPr>
                <w:rFonts w:ascii="Calibri Light" w:hAnsi="Calibri Light"/>
                <w:noProof/>
                <w:sz w:val="20"/>
              </w:rPr>
            </w:pPr>
          </w:p>
          <w:p w14:paraId="1CD32A36" w14:textId="6499C8A1" w:rsidR="008359B5" w:rsidRDefault="008359B5" w:rsidP="008359B5">
            <w:pPr>
              <w:rPr>
                <w:rFonts w:ascii="Calibri Light" w:hAnsi="Calibri Light"/>
                <w:noProof/>
                <w:sz w:val="20"/>
              </w:rPr>
            </w:pPr>
            <w:r w:rsidRPr="008359B5">
              <w:rPr>
                <w:rFonts w:ascii="Calibri Light" w:hAnsi="Calibri Light"/>
                <w:noProof/>
                <w:sz w:val="20"/>
              </w:rPr>
              <w:t>Christopher Rhodes</w:t>
            </w:r>
            <w:r>
              <w:rPr>
                <w:rFonts w:ascii="Calibri Light" w:hAnsi="Calibri Light"/>
                <w:noProof/>
                <w:sz w:val="20"/>
              </w:rPr>
              <w:t xml:space="preserve"> from IMO</w:t>
            </w:r>
            <w:r w:rsidRPr="008359B5">
              <w:rPr>
                <w:rFonts w:ascii="Calibri Light" w:hAnsi="Calibri Light"/>
                <w:noProof/>
                <w:sz w:val="20"/>
              </w:rPr>
              <w:t xml:space="preserve"> is transferring</w:t>
            </w:r>
            <w:r>
              <w:rPr>
                <w:rFonts w:ascii="Calibri Light" w:hAnsi="Calibri Light"/>
                <w:noProof/>
                <w:sz w:val="20"/>
              </w:rPr>
              <w:t xml:space="preserve"> to the Graduate School of Biomedical Sciences</w:t>
            </w:r>
            <w:bookmarkStart w:id="0" w:name="_GoBack"/>
            <w:bookmarkEnd w:id="0"/>
            <w:r>
              <w:rPr>
                <w:rFonts w:ascii="Calibri Light" w:hAnsi="Calibri Light"/>
                <w:noProof/>
                <w:sz w:val="20"/>
              </w:rPr>
              <w:t>. H</w:t>
            </w:r>
            <w:r w:rsidRPr="008359B5">
              <w:rPr>
                <w:rFonts w:ascii="Calibri Light" w:hAnsi="Calibri Light"/>
                <w:noProof/>
                <w:sz w:val="20"/>
              </w:rPr>
              <w:t>is last day with us is August 11, 2017</w:t>
            </w:r>
            <w:r>
              <w:rPr>
                <w:rFonts w:ascii="Calibri Light" w:hAnsi="Calibri Light"/>
                <w:noProof/>
                <w:sz w:val="20"/>
              </w:rPr>
              <w:t>.</w:t>
            </w:r>
          </w:p>
          <w:p w14:paraId="4807B7C9" w14:textId="77777777" w:rsidR="008359B5" w:rsidRDefault="008359B5" w:rsidP="008359B5">
            <w:pPr>
              <w:rPr>
                <w:rFonts w:ascii="Calibri Light" w:hAnsi="Calibri Light"/>
                <w:noProof/>
                <w:sz w:val="20"/>
              </w:rPr>
            </w:pPr>
          </w:p>
          <w:p w14:paraId="2405AD9F" w14:textId="08E2742C" w:rsidR="008359B5" w:rsidRPr="008359B5" w:rsidRDefault="008359B5" w:rsidP="008359B5">
            <w:pPr>
              <w:rPr>
                <w:rFonts w:ascii="Calibri Light" w:hAnsi="Calibri Light"/>
                <w:noProof/>
                <w:sz w:val="20"/>
              </w:rPr>
            </w:pPr>
            <w:r>
              <w:rPr>
                <w:rFonts w:ascii="Calibri Light" w:hAnsi="Calibri Light"/>
                <w:noProof/>
                <w:sz w:val="20"/>
              </w:rPr>
              <w:t xml:space="preserve">We wish both of them all the best in their new endeavors! </w:t>
            </w:r>
          </w:p>
          <w:p w14:paraId="3189C565" w14:textId="77777777" w:rsidR="008359B5" w:rsidRPr="008359B5" w:rsidRDefault="008359B5" w:rsidP="008359B5">
            <w:pPr>
              <w:rPr>
                <w:rFonts w:ascii="Calibri Light" w:hAnsi="Calibri Light"/>
                <w:noProof/>
                <w:sz w:val="20"/>
              </w:rPr>
            </w:pPr>
          </w:p>
          <w:p w14:paraId="73A00774" w14:textId="77777777" w:rsidR="008359B5" w:rsidRPr="008359B5" w:rsidRDefault="008359B5" w:rsidP="008359B5">
            <w:pPr>
              <w:rPr>
                <w:rFonts w:ascii="Calibri Light" w:hAnsi="Calibri Light"/>
                <w:noProof/>
                <w:sz w:val="20"/>
              </w:rPr>
            </w:pPr>
          </w:p>
          <w:p w14:paraId="57B06B24" w14:textId="77777777" w:rsidR="008359B5" w:rsidRPr="008359B5" w:rsidRDefault="008359B5" w:rsidP="008359B5">
            <w:pPr>
              <w:rPr>
                <w:rFonts w:ascii="Calibri Light" w:hAnsi="Calibri Light"/>
                <w:noProof/>
                <w:sz w:val="20"/>
              </w:rPr>
            </w:pPr>
          </w:p>
          <w:p w14:paraId="62ED5B37" w14:textId="77777777" w:rsidR="008359B5" w:rsidRPr="008359B5" w:rsidRDefault="008359B5" w:rsidP="008B6179">
            <w:pPr>
              <w:rPr>
                <w:rFonts w:ascii="Calibri Light" w:hAnsi="Calibri Light"/>
                <w:noProof/>
                <w:sz w:val="20"/>
              </w:rPr>
            </w:pPr>
          </w:p>
        </w:tc>
        <w:tc>
          <w:tcPr>
            <w:tcW w:w="5963" w:type="dxa"/>
            <w:gridSpan w:val="2"/>
          </w:tcPr>
          <w:p w14:paraId="43694EBF" w14:textId="77777777" w:rsidR="00733AEA" w:rsidRDefault="00733AEA" w:rsidP="003D7E2A">
            <w:pPr>
              <w:rPr>
                <w:rFonts w:asciiTheme="majorHAnsi" w:eastAsia="Times New Roman" w:hAnsiTheme="majorHAnsi" w:cs="Arial"/>
                <w:b/>
                <w:color w:val="000000" w:themeColor="text1"/>
                <w:szCs w:val="20"/>
              </w:rPr>
            </w:pPr>
          </w:p>
          <w:p w14:paraId="682227E6" w14:textId="4B2B5E4B" w:rsidR="004938E0" w:rsidRPr="005D163A" w:rsidRDefault="00C4125A" w:rsidP="004938E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voicemail system for Galveston, Angleton Danbury, League City campuses and select clinics</w:t>
            </w:r>
            <w:r w:rsidR="004938E0">
              <w:rPr>
                <w:rFonts w:asciiTheme="majorHAnsi" w:eastAsia="Times New Roman" w:hAnsiTheme="majorHAnsi" w:cs="Arial"/>
                <w:b/>
                <w:color w:val="000000" w:themeColor="text1"/>
                <w:szCs w:val="20"/>
              </w:rPr>
              <w:t>:</w:t>
            </w:r>
          </w:p>
          <w:p w14:paraId="0275EADA" w14:textId="70408F20" w:rsidR="00C4125A" w:rsidRPr="00C4125A" w:rsidRDefault="00C4125A" w:rsidP="00C4125A">
            <w:pPr>
              <w:rPr>
                <w:rFonts w:ascii="Calibri Light" w:eastAsia="Times New Roman" w:hAnsi="Calibri Light"/>
                <w:sz w:val="21"/>
                <w:szCs w:val="21"/>
              </w:rPr>
            </w:pPr>
            <w:r w:rsidRPr="00C4125A">
              <w:rPr>
                <w:rFonts w:ascii="Calibri Light" w:eastAsia="Times New Roman" w:hAnsi="Calibri Light" w:cs="Arial"/>
                <w:color w:val="000000"/>
                <w:sz w:val="21"/>
                <w:szCs w:val="21"/>
                <w:shd w:val="clear" w:color="auto" w:fill="FFFFFF"/>
              </w:rPr>
              <w:t>Now through the end of August, UTMB Voice Operations will migrate voicemail users on all campuses and at select clinics to a new voicemail system. All affected voicemail users will receive an email with instructions on how to access and set</w:t>
            </w:r>
            <w:r w:rsidR="00F97CED">
              <w:rPr>
                <w:rFonts w:ascii="Calibri Light" w:eastAsia="Times New Roman" w:hAnsi="Calibri Light" w:cs="Arial"/>
                <w:color w:val="000000"/>
                <w:sz w:val="21"/>
                <w:szCs w:val="21"/>
                <w:shd w:val="clear" w:color="auto" w:fill="FFFFFF"/>
              </w:rPr>
              <w:t xml:space="preserve"> </w:t>
            </w:r>
            <w:r w:rsidRPr="00C4125A">
              <w:rPr>
                <w:rFonts w:ascii="Calibri Light" w:eastAsia="Times New Roman" w:hAnsi="Calibri Light" w:cs="Arial"/>
                <w:color w:val="000000"/>
                <w:sz w:val="21"/>
                <w:szCs w:val="21"/>
                <w:shd w:val="clear" w:color="auto" w:fill="FFFFFF"/>
              </w:rPr>
              <w:t>up the new service, including how to preserve old messages. For questions, please contact Voice Operations at </w:t>
            </w:r>
            <w:hyperlink r:id="rId13" w:history="1">
              <w:r w:rsidRPr="0010166A">
                <w:rPr>
                  <w:rStyle w:val="Hyperlink"/>
                  <w:rFonts w:ascii="Calibri Light" w:eastAsia="Times New Roman" w:hAnsi="Calibri Light" w:cs="Arial"/>
                  <w:color w:val="FF0000"/>
                  <w:sz w:val="21"/>
                  <w:szCs w:val="21"/>
                </w:rPr>
                <w:t>isvoice.operations@utmb.edu</w:t>
              </w:r>
            </w:hyperlink>
            <w:r w:rsidRPr="00C4125A">
              <w:rPr>
                <w:rFonts w:ascii="Calibri Light" w:eastAsia="Times New Roman" w:hAnsi="Calibri Light" w:cs="Arial"/>
                <w:color w:val="000000"/>
                <w:sz w:val="21"/>
                <w:szCs w:val="21"/>
                <w:shd w:val="clear" w:color="auto" w:fill="FFFFFF"/>
              </w:rPr>
              <w:t>.</w:t>
            </w:r>
          </w:p>
          <w:p w14:paraId="6DF68DCC" w14:textId="77777777" w:rsidR="00AD7F67" w:rsidRDefault="00AD7F67" w:rsidP="00733AEA">
            <w:pPr>
              <w:rPr>
                <w:rFonts w:ascii="Calibri Light" w:eastAsia="Times New Roman" w:hAnsi="Calibri Light" w:cs="Arial"/>
                <w:color w:val="000000"/>
                <w:sz w:val="21"/>
                <w:szCs w:val="21"/>
                <w:shd w:val="clear" w:color="auto" w:fill="FFFFFF"/>
              </w:rPr>
            </w:pPr>
          </w:p>
          <w:p w14:paraId="7E1ED239" w14:textId="71E4EF2E" w:rsidR="00AD7F67" w:rsidRPr="005D163A" w:rsidRDefault="00C4125A" w:rsidP="00AD7F6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Kudos to David Marshall</w:t>
            </w:r>
            <w:r w:rsidR="00CC3E2F">
              <w:rPr>
                <w:rFonts w:asciiTheme="majorHAnsi" w:eastAsia="Times New Roman" w:hAnsiTheme="majorHAnsi" w:cs="Arial"/>
                <w:b/>
                <w:color w:val="000000" w:themeColor="text1"/>
                <w:szCs w:val="20"/>
              </w:rPr>
              <w:t>:</w:t>
            </w:r>
          </w:p>
          <w:p w14:paraId="2C914FB6" w14:textId="03CCCF6E" w:rsidR="00CC3E2F" w:rsidRDefault="00C4125A" w:rsidP="00CC3E2F">
            <w:pPr>
              <w:rPr>
                <w:rFonts w:ascii="Calibri" w:eastAsia="Times New Roman" w:hAnsi="Calibri"/>
                <w:color w:val="1F497D"/>
                <w:sz w:val="23"/>
                <w:szCs w:val="23"/>
                <w:shd w:val="clear" w:color="auto" w:fill="FFFFFF"/>
              </w:rPr>
            </w:pPr>
            <w:r w:rsidRPr="00C4125A">
              <w:rPr>
                <w:rFonts w:ascii="Calibri Light" w:eastAsia="Times New Roman" w:hAnsi="Calibri Light" w:cs="Arial"/>
                <w:color w:val="000000"/>
                <w:sz w:val="21"/>
                <w:szCs w:val="21"/>
                <w:shd w:val="clear" w:color="auto" w:fill="FFFFFF"/>
              </w:rPr>
              <w:t xml:space="preserve">David Marshall, chief nursing and patient care services officer, has been appointed to the American Nurses Credentialing Center (ANCC) Commission on Magnet Recognition. </w:t>
            </w:r>
            <w:r>
              <w:rPr>
                <w:rFonts w:ascii="Calibri Light" w:eastAsia="Times New Roman" w:hAnsi="Calibri Light" w:cs="Arial"/>
                <w:color w:val="000000"/>
                <w:sz w:val="21"/>
                <w:szCs w:val="21"/>
                <w:shd w:val="clear" w:color="auto" w:fill="FFFFFF"/>
              </w:rPr>
              <w:t xml:space="preserve">His term on the Commission will run </w:t>
            </w:r>
            <w:r w:rsidR="00DC1983">
              <w:rPr>
                <w:rFonts w:ascii="Calibri Light" w:eastAsia="Times New Roman" w:hAnsi="Calibri Light" w:cs="Arial"/>
                <w:color w:val="000000"/>
                <w:sz w:val="21"/>
                <w:szCs w:val="21"/>
                <w:shd w:val="clear" w:color="auto" w:fill="FFFFFF"/>
              </w:rPr>
              <w:t>through</w:t>
            </w:r>
            <w:r>
              <w:rPr>
                <w:rFonts w:ascii="Calibri Light" w:eastAsia="Times New Roman" w:hAnsi="Calibri Light" w:cs="Arial"/>
                <w:color w:val="000000"/>
                <w:sz w:val="21"/>
                <w:szCs w:val="21"/>
                <w:shd w:val="clear" w:color="auto" w:fill="FFFFFF"/>
              </w:rPr>
              <w:t xml:space="preserve"> </w:t>
            </w:r>
            <w:r w:rsidRPr="00C4125A">
              <w:rPr>
                <w:rFonts w:ascii="Calibri Light" w:eastAsia="Times New Roman" w:hAnsi="Calibri Light" w:cs="Arial"/>
                <w:color w:val="000000"/>
                <w:sz w:val="21"/>
                <w:szCs w:val="21"/>
                <w:shd w:val="clear" w:color="auto" w:fill="FFFFFF"/>
              </w:rPr>
              <w:t>Dec. 31, 2021</w:t>
            </w:r>
            <w:r>
              <w:rPr>
                <w:rFonts w:ascii="Calibri Light" w:eastAsia="Times New Roman" w:hAnsi="Calibri Light" w:cs="Arial"/>
                <w:color w:val="000000"/>
                <w:sz w:val="21"/>
                <w:szCs w:val="21"/>
                <w:shd w:val="clear" w:color="auto" w:fill="FFFFFF"/>
              </w:rPr>
              <w:t xml:space="preserve">. </w:t>
            </w:r>
            <w:r>
              <w:rPr>
                <w:rFonts w:ascii="Calibri Light" w:hAnsi="Calibri Light"/>
                <w:sz w:val="21"/>
                <w:szCs w:val="21"/>
              </w:rPr>
              <w:t>Members of the Commission, which</w:t>
            </w:r>
            <w:r w:rsidRPr="00C4125A">
              <w:rPr>
                <w:rFonts w:ascii="Calibri Light" w:hAnsi="Calibri Light"/>
                <w:sz w:val="21"/>
                <w:szCs w:val="21"/>
              </w:rPr>
              <w:t xml:space="preserve"> is a voluntary governing body that oversees the Magnet Recognition Program</w:t>
            </w:r>
            <w:r>
              <w:rPr>
                <w:rFonts w:ascii="Calibri Light" w:hAnsi="Calibri Light"/>
                <w:sz w:val="21"/>
                <w:szCs w:val="21"/>
              </w:rPr>
              <w:t>,</w:t>
            </w:r>
            <w:r w:rsidRPr="00C4125A">
              <w:rPr>
                <w:rFonts w:ascii="Calibri Light" w:hAnsi="Calibri Light"/>
                <w:sz w:val="21"/>
                <w:szCs w:val="21"/>
              </w:rPr>
              <w:t xml:space="preserve"> are appointed by ANCC’s Board of Directors, and are representatives from various sectors of the nursing community, which include nursing executive leaders, nurse managers, staff nurses, lon</w:t>
            </w:r>
            <w:r>
              <w:rPr>
                <w:rFonts w:ascii="Calibri Light" w:hAnsi="Calibri Light"/>
                <w:sz w:val="21"/>
                <w:szCs w:val="21"/>
              </w:rPr>
              <w:t>g-term-care nurses</w:t>
            </w:r>
            <w:r w:rsidRPr="00C4125A">
              <w:rPr>
                <w:rFonts w:ascii="Calibri Light" w:hAnsi="Calibri Light"/>
                <w:sz w:val="21"/>
                <w:szCs w:val="21"/>
              </w:rPr>
              <w:t xml:space="preserve"> and advanced practice registered nurses. One commission member represents public consumers. The Commission on Magnet Recognition makes the final determination of award designation</w:t>
            </w:r>
            <w:r>
              <w:rPr>
                <w:rFonts w:ascii="Calibri" w:eastAsia="Times New Roman" w:hAnsi="Calibri"/>
                <w:color w:val="1F497D"/>
                <w:sz w:val="23"/>
                <w:szCs w:val="23"/>
                <w:shd w:val="clear" w:color="auto" w:fill="FFFFFF"/>
              </w:rPr>
              <w:t>.</w:t>
            </w:r>
          </w:p>
          <w:p w14:paraId="4E15C9FE" w14:textId="77777777" w:rsidR="00CC3E2F" w:rsidRDefault="00CC3E2F" w:rsidP="00CC3E2F">
            <w:pPr>
              <w:rPr>
                <w:rFonts w:ascii="Calibri" w:eastAsia="Times New Roman" w:hAnsi="Calibri"/>
                <w:color w:val="1F497D"/>
                <w:sz w:val="23"/>
                <w:szCs w:val="23"/>
                <w:shd w:val="clear" w:color="auto" w:fill="FFFFFF"/>
              </w:rPr>
            </w:pPr>
          </w:p>
          <w:p w14:paraId="45322962" w14:textId="64E9A17C" w:rsidR="00CC3E2F" w:rsidRPr="005D163A" w:rsidRDefault="00CC3E2F" w:rsidP="00CC3E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Hot off the press:</w:t>
            </w:r>
          </w:p>
          <w:p w14:paraId="212489B3" w14:textId="633E5626" w:rsidR="00CC3E2F" w:rsidRPr="00CC3E2F" w:rsidRDefault="00CC3E2F" w:rsidP="00CC3E2F">
            <w:pPr>
              <w:rPr>
                <w:rFonts w:ascii="Calibri Light" w:eastAsia="Times New Roman" w:hAnsi="Calibri Light"/>
                <w:sz w:val="21"/>
                <w:szCs w:val="21"/>
              </w:rPr>
            </w:pPr>
            <w:r w:rsidRPr="00CC3E2F">
              <w:rPr>
                <w:rFonts w:ascii="Calibri Light" w:eastAsia="Times New Roman" w:hAnsi="Calibri Light" w:cs="Arial"/>
                <w:color w:val="000000"/>
                <w:sz w:val="21"/>
                <w:szCs w:val="21"/>
                <w:shd w:val="clear" w:color="auto" w:fill="FFFFFF"/>
              </w:rPr>
              <w:t xml:space="preserve">The latest edition of the Academic Enterprise magazine is on newsstands now. Read more about UTMB’s role in </w:t>
            </w:r>
            <w:r w:rsidR="00DC1983">
              <w:rPr>
                <w:rFonts w:ascii="Calibri Light" w:eastAsia="Times New Roman" w:hAnsi="Calibri Light" w:cs="Arial"/>
                <w:color w:val="000000"/>
                <w:sz w:val="21"/>
                <w:szCs w:val="21"/>
                <w:shd w:val="clear" w:color="auto" w:fill="FFFFFF"/>
              </w:rPr>
              <w:t xml:space="preserve">a </w:t>
            </w:r>
            <w:r w:rsidR="00486177">
              <w:rPr>
                <w:rFonts w:ascii="Calibri Light" w:eastAsia="Times New Roman" w:hAnsi="Calibri Light" w:cs="Arial"/>
                <w:color w:val="000000"/>
                <w:sz w:val="21"/>
                <w:szCs w:val="21"/>
                <w:shd w:val="clear" w:color="auto" w:fill="FFFFFF"/>
              </w:rPr>
              <w:t>study funded by the National Institutes of Health</w:t>
            </w:r>
            <w:r w:rsidRPr="00CC3E2F">
              <w:rPr>
                <w:rFonts w:ascii="Calibri Light" w:eastAsia="Times New Roman" w:hAnsi="Calibri Light" w:cs="Arial"/>
                <w:color w:val="000000"/>
                <w:sz w:val="21"/>
                <w:szCs w:val="21"/>
                <w:shd w:val="clear" w:color="auto" w:fill="FFFFFF"/>
              </w:rPr>
              <w:t xml:space="preserve"> on the benefits of exercise, the solutions being crafted in our medical </w:t>
            </w:r>
            <w:proofErr w:type="spellStart"/>
            <w:r w:rsidRPr="00CC3E2F">
              <w:rPr>
                <w:rFonts w:ascii="Calibri Light" w:eastAsia="Times New Roman" w:hAnsi="Calibri Light" w:cs="Arial"/>
                <w:color w:val="000000"/>
                <w:sz w:val="21"/>
                <w:szCs w:val="21"/>
                <w:shd w:val="clear" w:color="auto" w:fill="FFFFFF"/>
              </w:rPr>
              <w:t>MakerSpace</w:t>
            </w:r>
            <w:proofErr w:type="spellEnd"/>
            <w:r w:rsidRPr="00CC3E2F">
              <w:rPr>
                <w:rFonts w:ascii="Calibri Light" w:eastAsia="Times New Roman" w:hAnsi="Calibri Light" w:cs="Arial"/>
                <w:color w:val="000000"/>
                <w:sz w:val="21"/>
                <w:szCs w:val="21"/>
                <w:shd w:val="clear" w:color="auto" w:fill="FFFFFF"/>
              </w:rPr>
              <w:t>, how animal research helps save lives, Match Day and our White Coat ceremonies and more.</w:t>
            </w:r>
          </w:p>
          <w:p w14:paraId="34F304D8" w14:textId="77777777" w:rsidR="00CC3E2F" w:rsidRDefault="00CC3E2F" w:rsidP="00CC3E2F">
            <w:pPr>
              <w:rPr>
                <w:rFonts w:ascii="Calibri" w:eastAsia="Times New Roman" w:hAnsi="Calibri"/>
                <w:color w:val="1F497D"/>
                <w:sz w:val="23"/>
                <w:szCs w:val="23"/>
                <w:shd w:val="clear" w:color="auto" w:fill="FFFFFF"/>
              </w:rPr>
            </w:pPr>
          </w:p>
          <w:p w14:paraId="38BA4FC6" w14:textId="38806569" w:rsidR="00CC3E2F" w:rsidRPr="005D163A" w:rsidRDefault="00E603DE" w:rsidP="00CC3E2F">
            <w:pPr>
              <w:rPr>
                <w:rFonts w:asciiTheme="majorHAnsi" w:eastAsia="Times New Roman" w:hAnsiTheme="majorHAnsi" w:cs="Arial"/>
                <w:b/>
                <w:color w:val="000000" w:themeColor="text1"/>
                <w:szCs w:val="20"/>
              </w:rPr>
            </w:pPr>
            <w:r w:rsidRPr="00E603DE">
              <w:rPr>
                <w:rFonts w:asciiTheme="majorHAnsi" w:eastAsia="Times New Roman" w:hAnsiTheme="majorHAnsi" w:cs="Arial"/>
                <w:b/>
                <w:color w:val="000000" w:themeColor="text1"/>
                <w:szCs w:val="20"/>
              </w:rPr>
              <w:t>*</w:t>
            </w:r>
            <w:r w:rsidR="00CC3E2F" w:rsidRPr="00CC3E2F">
              <w:rPr>
                <w:rFonts w:asciiTheme="majorHAnsi" w:eastAsia="Times New Roman" w:hAnsiTheme="majorHAnsi" w:cs="Arial"/>
                <w:b/>
                <w:color w:val="FF0000"/>
                <w:szCs w:val="20"/>
              </w:rPr>
              <w:t>GC</w:t>
            </w:r>
            <w:r w:rsidR="00CC3E2F">
              <w:rPr>
                <w:rFonts w:asciiTheme="majorHAnsi" w:eastAsia="Times New Roman" w:hAnsiTheme="majorHAnsi" w:cs="Arial"/>
                <w:b/>
                <w:color w:val="000000" w:themeColor="text1"/>
                <w:szCs w:val="20"/>
              </w:rPr>
              <w:t>—Reminder: Planned Power Outage:</w:t>
            </w:r>
          </w:p>
          <w:p w14:paraId="095CE82F" w14:textId="01D73B9C" w:rsidR="00CC3E2F" w:rsidRPr="00E603DE" w:rsidRDefault="00E603DE" w:rsidP="00CC3E2F">
            <w:pPr>
              <w:rPr>
                <w:rFonts w:ascii="Calibri Light" w:eastAsia="Times New Roman" w:hAnsi="Calibri Light"/>
                <w:sz w:val="21"/>
                <w:szCs w:val="21"/>
              </w:rPr>
            </w:pPr>
            <w:r w:rsidRPr="00E603DE">
              <w:rPr>
                <w:rFonts w:ascii="Calibri Light" w:eastAsia="Times New Roman" w:hAnsi="Calibri Light" w:cs="Arial"/>
                <w:color w:val="000000"/>
                <w:sz w:val="21"/>
                <w:szCs w:val="21"/>
                <w:shd w:val="clear" w:color="auto" w:fill="FFFFFF"/>
              </w:rPr>
              <w:t>The fourth in a series of planned electrical outages will occur Aug. 5 from 7 a.m. to 9 p.m. All normal power will be off in McCullough (M11), John Sealy Annex (M9), Old Children’s (M8), JSA-North Addition (M91) and Clinical Sciences (M7) buildings. All affected buildings will be running on emergency power only during this outage. </w:t>
            </w:r>
            <w:r w:rsidRPr="00E603DE">
              <w:rPr>
                <w:rFonts w:ascii="Calibri" w:eastAsia="Times New Roman" w:hAnsi="Calibri" w:cs="Arial"/>
                <w:b/>
                <w:bCs/>
                <w:i/>
                <w:iCs/>
                <w:color w:val="000000"/>
                <w:sz w:val="21"/>
                <w:szCs w:val="21"/>
              </w:rPr>
              <w:t>Café on the Court will be closed during this outage</w:t>
            </w:r>
            <w:r w:rsidRPr="00E603DE">
              <w:rPr>
                <w:rFonts w:ascii="Calibri" w:eastAsia="Times New Roman" w:hAnsi="Calibri" w:cs="Arial"/>
                <w:b/>
                <w:bCs/>
                <w:i/>
                <w:iCs/>
                <w:color w:val="000000"/>
                <w:sz w:val="21"/>
                <w:szCs w:val="21"/>
                <w:shd w:val="clear" w:color="auto" w:fill="FFFFFF"/>
              </w:rPr>
              <w:t>.</w:t>
            </w:r>
          </w:p>
          <w:p w14:paraId="4C43FCCF" w14:textId="77777777" w:rsidR="00CC3E2F" w:rsidRDefault="00CC3E2F" w:rsidP="00CC3E2F">
            <w:pPr>
              <w:rPr>
                <w:rFonts w:ascii="Calibri" w:eastAsia="Times New Roman" w:hAnsi="Calibri"/>
                <w:color w:val="1F497D"/>
                <w:sz w:val="23"/>
                <w:szCs w:val="23"/>
                <w:shd w:val="clear" w:color="auto" w:fill="FFFFFF"/>
              </w:rPr>
            </w:pPr>
          </w:p>
          <w:p w14:paraId="148504CC" w14:textId="0110F016" w:rsidR="00CC3E2F" w:rsidRPr="00E603DE" w:rsidRDefault="00CC3E2F" w:rsidP="00CC3E2F">
            <w:pPr>
              <w:rPr>
                <w:rFonts w:asciiTheme="majorHAnsi" w:eastAsia="Times New Roman" w:hAnsiTheme="majorHAnsi" w:cs="Arial"/>
                <w:b/>
                <w:color w:val="000000" w:themeColor="text1"/>
                <w:sz w:val="21"/>
                <w:szCs w:val="21"/>
              </w:rPr>
            </w:pPr>
            <w:r w:rsidRPr="00E603DE">
              <w:rPr>
                <w:rFonts w:asciiTheme="majorHAnsi" w:eastAsia="Times New Roman" w:hAnsiTheme="majorHAnsi" w:cs="Arial"/>
                <w:b/>
                <w:color w:val="000000" w:themeColor="text1"/>
                <w:sz w:val="21"/>
                <w:szCs w:val="21"/>
              </w:rPr>
              <w:t>*</w:t>
            </w:r>
            <w:r w:rsidRPr="00E603DE">
              <w:rPr>
                <w:rFonts w:asciiTheme="majorHAnsi" w:eastAsia="Times New Roman" w:hAnsiTheme="majorHAnsi" w:cs="Arial"/>
                <w:b/>
                <w:color w:val="FF0000"/>
                <w:sz w:val="21"/>
                <w:szCs w:val="21"/>
              </w:rPr>
              <w:t>ADC</w:t>
            </w:r>
            <w:r w:rsidRPr="00E603DE">
              <w:rPr>
                <w:rFonts w:asciiTheme="majorHAnsi" w:eastAsia="Times New Roman" w:hAnsiTheme="majorHAnsi" w:cs="Arial"/>
                <w:b/>
                <w:color w:val="000000" w:themeColor="text1"/>
                <w:sz w:val="21"/>
                <w:szCs w:val="21"/>
              </w:rPr>
              <w:t>=</w:t>
            </w:r>
            <w:r w:rsidRPr="00E603DE">
              <w:rPr>
                <w:rFonts w:ascii="Calibri Light" w:eastAsia="Times New Roman" w:hAnsi="Calibri Light" w:cs="Arial"/>
                <w:color w:val="000000" w:themeColor="text1"/>
                <w:sz w:val="21"/>
                <w:szCs w:val="21"/>
              </w:rPr>
              <w:t>Angleton Danbury Campus</w:t>
            </w:r>
            <w:r w:rsidR="00E603DE">
              <w:rPr>
                <w:rFonts w:asciiTheme="majorHAnsi" w:eastAsia="Times New Roman" w:hAnsiTheme="majorHAnsi" w:cs="Arial"/>
                <w:b/>
                <w:color w:val="000000" w:themeColor="text1"/>
                <w:sz w:val="21"/>
                <w:szCs w:val="21"/>
              </w:rPr>
              <w:t xml:space="preserve"> </w:t>
            </w:r>
            <w:r w:rsidRPr="00E603DE">
              <w:rPr>
                <w:rFonts w:asciiTheme="majorHAnsi" w:eastAsia="Times New Roman" w:hAnsiTheme="majorHAnsi" w:cs="Arial"/>
                <w:b/>
                <w:color w:val="FF0000"/>
                <w:sz w:val="21"/>
                <w:szCs w:val="21"/>
              </w:rPr>
              <w:t>GC</w:t>
            </w:r>
            <w:r w:rsidRPr="00E603DE">
              <w:rPr>
                <w:rFonts w:asciiTheme="majorHAnsi" w:eastAsia="Times New Roman" w:hAnsiTheme="majorHAnsi" w:cs="Arial"/>
                <w:b/>
                <w:color w:val="000000" w:themeColor="text1"/>
                <w:sz w:val="21"/>
                <w:szCs w:val="21"/>
              </w:rPr>
              <w:t>=</w:t>
            </w:r>
            <w:r w:rsidRPr="00E603DE">
              <w:rPr>
                <w:rFonts w:ascii="Calibri Light" w:eastAsia="Times New Roman" w:hAnsi="Calibri Light" w:cs="Arial"/>
                <w:color w:val="000000" w:themeColor="text1"/>
                <w:sz w:val="21"/>
                <w:szCs w:val="21"/>
              </w:rPr>
              <w:t>Galveston Campus</w:t>
            </w:r>
            <w:r w:rsidRPr="00E603DE">
              <w:rPr>
                <w:rFonts w:asciiTheme="majorHAnsi" w:eastAsia="Times New Roman" w:hAnsiTheme="majorHAnsi" w:cs="Arial"/>
                <w:b/>
                <w:color w:val="000000" w:themeColor="text1"/>
                <w:sz w:val="21"/>
                <w:szCs w:val="21"/>
              </w:rPr>
              <w:t xml:space="preserve">  </w:t>
            </w:r>
            <w:r w:rsidRPr="00E603DE">
              <w:rPr>
                <w:rFonts w:asciiTheme="majorHAnsi" w:eastAsia="Times New Roman" w:hAnsiTheme="majorHAnsi" w:cs="Arial"/>
                <w:b/>
                <w:color w:val="FF0000"/>
                <w:sz w:val="21"/>
                <w:szCs w:val="21"/>
              </w:rPr>
              <w:t>LCC</w:t>
            </w:r>
            <w:r w:rsidRPr="00E603DE">
              <w:rPr>
                <w:rFonts w:asciiTheme="majorHAnsi" w:eastAsia="Times New Roman" w:hAnsiTheme="majorHAnsi" w:cs="Arial"/>
                <w:b/>
                <w:color w:val="000000" w:themeColor="text1"/>
                <w:sz w:val="21"/>
                <w:szCs w:val="21"/>
              </w:rPr>
              <w:t>=</w:t>
            </w:r>
            <w:r w:rsidRPr="00E603DE">
              <w:rPr>
                <w:rFonts w:ascii="Calibri Light" w:eastAsia="Times New Roman" w:hAnsi="Calibri Light" w:cs="Arial"/>
                <w:color w:val="000000" w:themeColor="text1"/>
                <w:sz w:val="21"/>
                <w:szCs w:val="21"/>
              </w:rPr>
              <w:t>League City Campus</w:t>
            </w:r>
            <w:r w:rsidRPr="00E603DE">
              <w:rPr>
                <w:rFonts w:asciiTheme="majorHAnsi" w:eastAsia="Times New Roman" w:hAnsiTheme="majorHAnsi" w:cs="Arial"/>
                <w:b/>
                <w:color w:val="000000" w:themeColor="text1"/>
                <w:sz w:val="21"/>
                <w:szCs w:val="21"/>
              </w:rPr>
              <w:t xml:space="preserve"> </w:t>
            </w:r>
          </w:p>
          <w:p w14:paraId="674671B4" w14:textId="77777777" w:rsidR="00CC3E2F" w:rsidRPr="00CC3E2F" w:rsidRDefault="00CC3E2F" w:rsidP="00CC3E2F">
            <w:pPr>
              <w:rPr>
                <w:rFonts w:ascii="Calibri" w:eastAsia="Times New Roman" w:hAnsi="Calibri"/>
                <w:color w:val="1F497D"/>
                <w:sz w:val="23"/>
                <w:szCs w:val="23"/>
                <w:shd w:val="clear" w:color="auto" w:fill="FFFFFF"/>
              </w:rPr>
            </w:pPr>
          </w:p>
          <w:p w14:paraId="710DFE2A" w14:textId="77777777" w:rsidR="00CC3E2F" w:rsidRPr="00CC3E2F" w:rsidRDefault="00CC3E2F" w:rsidP="00CC3E2F">
            <w:pPr>
              <w:rPr>
                <w:rFonts w:ascii="Calibri Light" w:eastAsia="Times New Roman" w:hAnsi="Calibri Light"/>
                <w:sz w:val="21"/>
                <w:szCs w:val="21"/>
              </w:rPr>
            </w:pPr>
          </w:p>
          <w:p w14:paraId="308AA777" w14:textId="77777777" w:rsidR="00C4125A" w:rsidRDefault="00C4125A" w:rsidP="00C4125A">
            <w:pPr>
              <w:rPr>
                <w:rFonts w:ascii="Calibri" w:eastAsia="Times New Roman" w:hAnsi="Calibri"/>
                <w:color w:val="1F497D"/>
                <w:sz w:val="23"/>
                <w:szCs w:val="23"/>
                <w:shd w:val="clear" w:color="auto" w:fill="FFFFFF"/>
              </w:rPr>
            </w:pPr>
          </w:p>
          <w:p w14:paraId="73356C14" w14:textId="77777777" w:rsidR="00C4125A" w:rsidRDefault="00C4125A" w:rsidP="00C4125A">
            <w:pPr>
              <w:rPr>
                <w:rFonts w:ascii="Calibri" w:eastAsia="Times New Roman" w:hAnsi="Calibri"/>
                <w:color w:val="1F497D"/>
                <w:sz w:val="23"/>
                <w:szCs w:val="23"/>
                <w:shd w:val="clear" w:color="auto" w:fill="FFFFFF"/>
              </w:rPr>
            </w:pPr>
          </w:p>
          <w:p w14:paraId="6380420F" w14:textId="77777777" w:rsidR="00C4125A" w:rsidRDefault="00C4125A" w:rsidP="00C4125A">
            <w:pPr>
              <w:rPr>
                <w:rFonts w:eastAsia="Times New Roman"/>
              </w:rPr>
            </w:pPr>
          </w:p>
          <w:p w14:paraId="26AAB642" w14:textId="17A99A9A" w:rsidR="00AD7F67" w:rsidRPr="00C4125A" w:rsidRDefault="00AD7F67" w:rsidP="00733AEA">
            <w:pPr>
              <w:rPr>
                <w:rFonts w:ascii="Calibri Light" w:eastAsia="Times New Roman" w:hAnsi="Calibri Light"/>
                <w:sz w:val="21"/>
                <w:szCs w:val="21"/>
              </w:rPr>
            </w:pPr>
          </w:p>
          <w:p w14:paraId="5A3E3E43" w14:textId="77777777" w:rsidR="006F28BD" w:rsidRDefault="006F28BD" w:rsidP="00733AEA">
            <w:pPr>
              <w:rPr>
                <w:rFonts w:ascii="Calibri Light" w:eastAsia="Times New Roman" w:hAnsi="Calibri Light" w:cs="Arial"/>
                <w:color w:val="000000"/>
                <w:sz w:val="21"/>
                <w:szCs w:val="21"/>
                <w:shd w:val="clear" w:color="auto" w:fill="FFFFFF"/>
              </w:rPr>
            </w:pPr>
          </w:p>
          <w:p w14:paraId="33D5B003" w14:textId="6B8080BC" w:rsidR="006F28BD" w:rsidRPr="006F28BD" w:rsidRDefault="006F28BD" w:rsidP="00733AEA">
            <w:pPr>
              <w:rPr>
                <w:rFonts w:ascii="Calibri Light" w:eastAsia="Times New Roman" w:hAnsi="Calibri Light"/>
                <w:sz w:val="21"/>
                <w:szCs w:val="21"/>
              </w:rPr>
            </w:pP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585F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56"/>
        </w:trPr>
        <w:tc>
          <w:tcPr>
            <w:tcW w:w="5130" w:type="dxa"/>
            <w:gridSpan w:val="3"/>
            <w:vMerge w:val="restart"/>
            <w:tcBorders>
              <w:top w:val="single" w:sz="8" w:space="0" w:color="auto"/>
              <w:left w:val="single" w:sz="8" w:space="0" w:color="auto"/>
              <w:right w:val="single" w:sz="4" w:space="0" w:color="auto"/>
            </w:tcBorders>
          </w:tcPr>
          <w:p w14:paraId="57474A71" w14:textId="5D617548" w:rsidR="00E12CC3" w:rsidRDefault="00E12CC3" w:rsidP="000317BD">
            <w:pPr>
              <w:rPr>
                <w:rFonts w:ascii="Calibri Light" w:hAnsi="Calibri Light" w:cs="Calibri"/>
                <w:sz w:val="21"/>
                <w:szCs w:val="21"/>
              </w:rPr>
            </w:pPr>
          </w:p>
          <w:p w14:paraId="01EEE99C" w14:textId="08F0C85F" w:rsidR="00CC3E2F" w:rsidRPr="005D163A" w:rsidRDefault="00CC3E2F" w:rsidP="00CC3E2F">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4CBBC1A8" wp14:editId="5A01334E">
                  <wp:extent cx="143209" cy="13819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8">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Pr>
                <w:rFonts w:asciiTheme="majorHAnsi" w:eastAsia="Times New Roman" w:hAnsiTheme="majorHAnsi" w:cs="Arial"/>
                <w:b/>
                <w:color w:val="FF0000"/>
                <w:szCs w:val="20"/>
              </w:rPr>
              <w:t>S</w:t>
            </w:r>
            <w:r w:rsidRPr="009E0224">
              <w:rPr>
                <w:rFonts w:asciiTheme="majorHAnsi" w:eastAsia="Times New Roman" w:hAnsiTheme="majorHAnsi" w:cs="Arial"/>
                <w:b/>
                <w:color w:val="FF0000"/>
                <w:szCs w:val="20"/>
              </w:rPr>
              <w:t>:</w:t>
            </w:r>
            <w:r w:rsidRPr="005D163A">
              <w:rPr>
                <w:rFonts w:asciiTheme="majorHAnsi" w:eastAsia="Times New Roman" w:hAnsiTheme="majorHAnsi" w:cs="Arial"/>
                <w:b/>
                <w:color w:val="000000" w:themeColor="text1"/>
                <w:szCs w:val="20"/>
              </w:rPr>
              <w:t xml:space="preserve"> </w:t>
            </w:r>
            <w:r>
              <w:rPr>
                <w:rFonts w:asciiTheme="majorHAnsi" w:eastAsia="Times New Roman" w:hAnsiTheme="majorHAnsi" w:cs="Arial"/>
                <w:b/>
                <w:color w:val="000000" w:themeColor="text1"/>
                <w:szCs w:val="20"/>
              </w:rPr>
              <w:t>End-of-year deadlines fast approaching:</w:t>
            </w:r>
          </w:p>
          <w:p w14:paraId="4584BF11" w14:textId="77777777" w:rsidR="00CC3E2F" w:rsidRDefault="00CC3E2F" w:rsidP="00CC3E2F">
            <w:pPr>
              <w:rPr>
                <w:rFonts w:ascii="Calibri Light" w:eastAsia="Times New Roman" w:hAnsi="Calibri Light" w:cs="Arial"/>
                <w:color w:val="000000"/>
                <w:sz w:val="21"/>
                <w:szCs w:val="21"/>
                <w:shd w:val="clear" w:color="auto" w:fill="FFFFFF"/>
              </w:rPr>
            </w:pPr>
            <w:r w:rsidRPr="00CC3E2F">
              <w:rPr>
                <w:rFonts w:ascii="Calibri Light" w:eastAsia="Times New Roman" w:hAnsi="Calibri Light" w:cs="Arial"/>
                <w:color w:val="000000"/>
                <w:sz w:val="21"/>
                <w:szCs w:val="21"/>
                <w:shd w:val="clear" w:color="auto" w:fill="FFFFFF"/>
              </w:rPr>
              <w:t>How is it August already? With the end of the fiscal year approaching fast, here are a few reminders of deadlines set for the end of this month.</w:t>
            </w:r>
          </w:p>
          <w:p w14:paraId="10A2CE44" w14:textId="54A8212D" w:rsidR="00CC3E2F" w:rsidRPr="009B6D01" w:rsidRDefault="00CC3E2F" w:rsidP="00CC3E2F">
            <w:pPr>
              <w:numPr>
                <w:ilvl w:val="0"/>
                <w:numId w:val="29"/>
              </w:numPr>
              <w:rPr>
                <w:rFonts w:ascii="Calibri Light" w:eastAsia="Times New Roman" w:hAnsi="Calibri Light"/>
                <w:color w:val="000000"/>
                <w:sz w:val="21"/>
                <w:szCs w:val="21"/>
              </w:rPr>
            </w:pPr>
            <w:r w:rsidRPr="00CC3E2F">
              <w:rPr>
                <w:rFonts w:ascii="Calibri" w:eastAsia="Times New Roman" w:hAnsi="Calibri" w:cs="Arial"/>
                <w:b/>
                <w:bCs/>
                <w:color w:val="000000"/>
                <w:sz w:val="21"/>
                <w:szCs w:val="21"/>
              </w:rPr>
              <w:t>My Road Ahead: </w:t>
            </w:r>
            <w:r w:rsidRPr="00CC3E2F">
              <w:rPr>
                <w:rFonts w:ascii="Calibri Light" w:eastAsia="Times New Roman" w:hAnsi="Calibri Light" w:cs="Arial"/>
                <w:color w:val="000000"/>
                <w:sz w:val="21"/>
                <w:szCs w:val="21"/>
              </w:rPr>
              <w:t xml:space="preserve">The last day to complete all activities related to your FY17 My Road Ahead development plan is Aug. 31. If you have already completed your activities, now is </w:t>
            </w:r>
            <w:r w:rsidR="00585FEB">
              <w:rPr>
                <w:rFonts w:ascii="Calibri Light" w:eastAsia="Times New Roman" w:hAnsi="Calibri Light" w:cs="Arial"/>
                <w:color w:val="000000"/>
                <w:sz w:val="21"/>
                <w:szCs w:val="21"/>
              </w:rPr>
              <w:t xml:space="preserve">the </w:t>
            </w:r>
            <w:r w:rsidRPr="00CC3E2F">
              <w:rPr>
                <w:rFonts w:ascii="Calibri Light" w:eastAsia="Times New Roman" w:hAnsi="Calibri Light" w:cs="Arial"/>
                <w:color w:val="000000"/>
                <w:sz w:val="21"/>
                <w:szCs w:val="21"/>
              </w:rPr>
              <w:t>time to start thinking about your development plan for FY18. See </w:t>
            </w:r>
            <w:hyperlink r:id="rId19" w:history="1">
              <w:r w:rsidRPr="0010166A">
                <w:rPr>
                  <w:rStyle w:val="Hyperlink"/>
                  <w:rFonts w:ascii="Calibri Light" w:eastAsia="Times New Roman" w:hAnsi="Calibri Light" w:cs="Arial"/>
                  <w:color w:val="FF0000"/>
                  <w:sz w:val="21"/>
                  <w:szCs w:val="21"/>
                </w:rPr>
                <w:t>https://hr.utmb.edu/relations/performance/</w:t>
              </w:r>
            </w:hyperlink>
            <w:r w:rsidRPr="0010166A">
              <w:rPr>
                <w:rFonts w:ascii="Calibri Light" w:eastAsia="Times New Roman" w:hAnsi="Calibri Light" w:cs="Arial"/>
                <w:color w:val="FF0000"/>
                <w:sz w:val="21"/>
                <w:szCs w:val="21"/>
              </w:rPr>
              <w:t> </w:t>
            </w:r>
            <w:r w:rsidRPr="00CC3E2F">
              <w:rPr>
                <w:rFonts w:ascii="Calibri Light" w:eastAsia="Times New Roman" w:hAnsi="Calibri Light" w:cs="Arial"/>
                <w:color w:val="000000"/>
                <w:sz w:val="21"/>
                <w:szCs w:val="21"/>
              </w:rPr>
              <w:t>and </w:t>
            </w:r>
            <w:hyperlink r:id="rId20" w:history="1">
              <w:r w:rsidRPr="0010166A">
                <w:rPr>
                  <w:rStyle w:val="Hyperlink"/>
                  <w:rFonts w:ascii="Calibri Light" w:eastAsia="Times New Roman" w:hAnsi="Calibri Light" w:cs="Arial"/>
                  <w:color w:val="FF0000"/>
                  <w:sz w:val="21"/>
                  <w:szCs w:val="21"/>
                </w:rPr>
                <w:t>https://hr.utmb.edu/tod/learning/</w:t>
              </w:r>
            </w:hyperlink>
            <w:r w:rsidRPr="00CC3E2F">
              <w:rPr>
                <w:rFonts w:ascii="Calibri Light" w:eastAsia="Times New Roman" w:hAnsi="Calibri Light" w:cs="Arial"/>
                <w:color w:val="000000"/>
                <w:sz w:val="21"/>
                <w:szCs w:val="21"/>
              </w:rPr>
              <w:t> for development planning tools and resources.</w:t>
            </w:r>
          </w:p>
          <w:p w14:paraId="219DB8D8" w14:textId="77777777" w:rsidR="009B6D01" w:rsidRDefault="009B6D01" w:rsidP="009B6D01">
            <w:pPr>
              <w:rPr>
                <w:rFonts w:ascii="Calibri Light" w:eastAsia="Times New Roman" w:hAnsi="Calibri Light"/>
                <w:color w:val="000000"/>
                <w:sz w:val="21"/>
                <w:szCs w:val="21"/>
              </w:rPr>
            </w:pPr>
          </w:p>
          <w:p w14:paraId="41D02E34" w14:textId="184820A3" w:rsidR="00486177" w:rsidRPr="00486177" w:rsidRDefault="009B6D01" w:rsidP="00486177">
            <w:pPr>
              <w:numPr>
                <w:ilvl w:val="0"/>
                <w:numId w:val="29"/>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 xml:space="preserve">PeopleSoft </w:t>
            </w:r>
            <w:r w:rsidR="00486177">
              <w:rPr>
                <w:rFonts w:ascii="Calibri" w:eastAsia="Times New Roman" w:hAnsi="Calibri" w:cs="Arial"/>
                <w:b/>
                <w:bCs/>
                <w:color w:val="000000"/>
                <w:sz w:val="21"/>
                <w:szCs w:val="21"/>
              </w:rPr>
              <w:t>Accounts Payables and reimbursements</w:t>
            </w:r>
            <w:r w:rsidRPr="009B6D01">
              <w:rPr>
                <w:rFonts w:ascii="Calibri" w:eastAsia="Times New Roman" w:hAnsi="Calibri" w:cs="Arial"/>
                <w:b/>
                <w:bCs/>
                <w:color w:val="000000"/>
                <w:sz w:val="21"/>
                <w:szCs w:val="21"/>
              </w:rPr>
              <w:t>: </w:t>
            </w:r>
            <w:r w:rsidRPr="009B6D01">
              <w:rPr>
                <w:rFonts w:ascii="Calibri Light" w:eastAsia="Times New Roman" w:hAnsi="Calibri Light" w:cs="Arial"/>
                <w:color w:val="000000"/>
                <w:sz w:val="21"/>
                <w:szCs w:val="21"/>
              </w:rPr>
              <w:t xml:space="preserve">Department leaders are encouraged to conduct a year-end </w:t>
            </w:r>
            <w:r w:rsidR="00486177">
              <w:rPr>
                <w:rFonts w:ascii="Calibri Light" w:eastAsia="Times New Roman" w:hAnsi="Calibri Light" w:cs="Arial"/>
                <w:color w:val="000000"/>
                <w:sz w:val="21"/>
                <w:szCs w:val="21"/>
              </w:rPr>
              <w:t xml:space="preserve">financial </w:t>
            </w:r>
            <w:r w:rsidRPr="009B6D01">
              <w:rPr>
                <w:rFonts w:ascii="Calibri Light" w:eastAsia="Times New Roman" w:hAnsi="Calibri Light" w:cs="Arial"/>
                <w:color w:val="000000"/>
                <w:sz w:val="21"/>
                <w:szCs w:val="21"/>
              </w:rPr>
              <w:t>review to ensure th</w:t>
            </w:r>
            <w:r w:rsidR="00486177">
              <w:rPr>
                <w:rFonts w:ascii="Calibri Light" w:eastAsia="Times New Roman" w:hAnsi="Calibri Light" w:cs="Arial"/>
                <w:color w:val="000000"/>
                <w:sz w:val="21"/>
                <w:szCs w:val="21"/>
              </w:rPr>
              <w:t xml:space="preserve">at all requisitions and transactions </w:t>
            </w:r>
            <w:r w:rsidRPr="009B6D01">
              <w:rPr>
                <w:rFonts w:ascii="Calibri Light" w:eastAsia="Times New Roman" w:hAnsi="Calibri Light" w:cs="Arial"/>
                <w:color w:val="000000"/>
                <w:sz w:val="21"/>
                <w:szCs w:val="21"/>
              </w:rPr>
              <w:t>are processed in the appropriate fiscal year. To properly record UTMB’s FY17 expenses and accruals, please adhere to the following guidelines:</w:t>
            </w:r>
          </w:p>
          <w:p w14:paraId="42E8A25B" w14:textId="77777777" w:rsidR="009B6D01" w:rsidRPr="009B6D01" w:rsidRDefault="009B6D01" w:rsidP="009B6D01">
            <w:pPr>
              <w:numPr>
                <w:ilvl w:val="0"/>
                <w:numId w:val="33"/>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Travel, Expenses and Reimbursements</w:t>
            </w:r>
            <w:r>
              <w:rPr>
                <w:rFonts w:ascii="Calibri Light" w:eastAsia="Times New Roman" w:hAnsi="Calibri Light" w:cs="Arial"/>
                <w:color w:val="000000"/>
                <w:sz w:val="21"/>
                <w:szCs w:val="21"/>
              </w:rPr>
              <w:t xml:space="preserve">: </w:t>
            </w:r>
            <w:r w:rsidRPr="009B6D01">
              <w:rPr>
                <w:rFonts w:ascii="Calibri Light" w:eastAsia="Times New Roman" w:hAnsi="Calibri Light" w:cs="Arial"/>
                <w:color w:val="000000"/>
                <w:sz w:val="21"/>
                <w:szCs w:val="21"/>
              </w:rPr>
              <w:t>All travel authorizations, related expense reports and business entertainment reimbursements should be submitted and approved within PeopleSoft no later than close of business on Sept. 1.</w:t>
            </w:r>
          </w:p>
          <w:p w14:paraId="71A95A1E" w14:textId="77777777" w:rsidR="009B6D01" w:rsidRPr="009B6D01" w:rsidRDefault="009B6D01" w:rsidP="009B6D01">
            <w:pPr>
              <w:numPr>
                <w:ilvl w:val="0"/>
                <w:numId w:val="33"/>
              </w:numPr>
              <w:rPr>
                <w:rFonts w:ascii="Calibri" w:eastAsia="Times New Roman" w:hAnsi="Calibri"/>
                <w:b/>
                <w:bCs/>
                <w:color w:val="000000"/>
                <w:sz w:val="21"/>
                <w:szCs w:val="21"/>
              </w:rPr>
            </w:pPr>
            <w:r w:rsidRPr="009B6D01">
              <w:rPr>
                <w:rFonts w:ascii="Calibri" w:eastAsia="Times New Roman" w:hAnsi="Calibri" w:cs="Arial"/>
                <w:b/>
                <w:bCs/>
                <w:color w:val="000000"/>
                <w:sz w:val="21"/>
                <w:szCs w:val="21"/>
              </w:rPr>
              <w:t>Purchase Orders</w:t>
            </w:r>
            <w:r w:rsidRPr="00486177">
              <w:rPr>
                <w:rFonts w:ascii="Calibri" w:eastAsia="Times New Roman" w:hAnsi="Calibri"/>
                <w:b/>
                <w:bCs/>
                <w:color w:val="000000"/>
                <w:sz w:val="21"/>
                <w:szCs w:val="21"/>
              </w:rPr>
              <w:t>:</w:t>
            </w:r>
          </w:p>
          <w:p w14:paraId="08F321AB" w14:textId="2218C8C9" w:rsidR="009B6D01" w:rsidRPr="009B6D01" w:rsidRDefault="009B6D01" w:rsidP="009B6D01">
            <w:pPr>
              <w:numPr>
                <w:ilvl w:val="0"/>
                <w:numId w:val="35"/>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Regular purchase orders </w:t>
            </w:r>
            <w:r w:rsidRPr="009B6D01">
              <w:rPr>
                <w:rFonts w:ascii="Calibri Light" w:eastAsia="Times New Roman" w:hAnsi="Calibri Light" w:cs="Arial"/>
                <w:color w:val="000000"/>
                <w:sz w:val="21"/>
                <w:szCs w:val="21"/>
              </w:rPr>
              <w:t>for goods must be marked “received” within PeopleSoft by close of business on Aug. 31.</w:t>
            </w:r>
          </w:p>
          <w:p w14:paraId="725F5ED5" w14:textId="77777777" w:rsidR="009B6D01" w:rsidRPr="009B6D01" w:rsidRDefault="009B6D01" w:rsidP="009B6D01">
            <w:pPr>
              <w:numPr>
                <w:ilvl w:val="0"/>
                <w:numId w:val="35"/>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Blanket purchase order invoices </w:t>
            </w:r>
            <w:r w:rsidRPr="009B6D01">
              <w:rPr>
                <w:rFonts w:ascii="Calibri Light" w:eastAsia="Times New Roman" w:hAnsi="Calibri Light" w:cs="Arial"/>
                <w:color w:val="000000"/>
                <w:sz w:val="21"/>
                <w:szCs w:val="21"/>
              </w:rPr>
              <w:t>must be sent to Accounts Payable and properly signed and dated by close of business on Aug. 31.</w:t>
            </w:r>
          </w:p>
          <w:p w14:paraId="4FC5F6AE" w14:textId="77777777" w:rsidR="009B6D01" w:rsidRPr="009B6D01" w:rsidRDefault="009B6D01" w:rsidP="009B6D01">
            <w:pPr>
              <w:numPr>
                <w:ilvl w:val="0"/>
                <w:numId w:val="35"/>
              </w:numPr>
              <w:rPr>
                <w:rFonts w:ascii="Calibri Light" w:eastAsia="Times New Roman" w:hAnsi="Calibri Light"/>
                <w:color w:val="000000"/>
                <w:sz w:val="21"/>
                <w:szCs w:val="21"/>
              </w:rPr>
            </w:pPr>
            <w:r w:rsidRPr="009B6D01">
              <w:rPr>
                <w:rFonts w:ascii="Calibri Light" w:eastAsia="Times New Roman" w:hAnsi="Calibri Light" w:cs="Arial"/>
                <w:color w:val="000000"/>
                <w:sz w:val="21"/>
                <w:szCs w:val="21"/>
              </w:rPr>
              <w:t>Budgeted </w:t>
            </w:r>
            <w:r w:rsidRPr="009B6D01">
              <w:rPr>
                <w:rFonts w:ascii="Calibri" w:eastAsia="Times New Roman" w:hAnsi="Calibri" w:cs="Arial"/>
                <w:b/>
                <w:bCs/>
                <w:color w:val="000000"/>
                <w:sz w:val="21"/>
                <w:szCs w:val="21"/>
              </w:rPr>
              <w:t>non-purchase order vouchers </w:t>
            </w:r>
            <w:r w:rsidRPr="009B6D01">
              <w:rPr>
                <w:rFonts w:ascii="Calibri Light" w:eastAsia="Times New Roman" w:hAnsi="Calibri Light" w:cs="Arial"/>
                <w:color w:val="000000"/>
                <w:sz w:val="21"/>
                <w:szCs w:val="21"/>
              </w:rPr>
              <w:t>and the supporting invoice must be submitted and approved within PeopleSoft by close of business on Aug. 31.</w:t>
            </w:r>
          </w:p>
          <w:p w14:paraId="15BFDD1E" w14:textId="65E1CDF0" w:rsidR="009B6D01" w:rsidRDefault="009B6D01" w:rsidP="009B6D01">
            <w:pPr>
              <w:ind w:left="720"/>
              <w:rPr>
                <w:rFonts w:ascii="Calibri Light" w:hAnsi="Calibri Light" w:cs="Arial"/>
                <w:color w:val="000000"/>
                <w:sz w:val="21"/>
                <w:szCs w:val="21"/>
              </w:rPr>
            </w:pPr>
            <w:r w:rsidRPr="009B6D01">
              <w:rPr>
                <w:rFonts w:ascii="Calibri Light" w:hAnsi="Calibri Light" w:cs="Arial"/>
                <w:color w:val="000000"/>
                <w:sz w:val="21"/>
                <w:szCs w:val="21"/>
              </w:rPr>
              <w:t xml:space="preserve">For questions </w:t>
            </w:r>
            <w:r w:rsidR="00486177">
              <w:rPr>
                <w:rFonts w:ascii="Calibri Light" w:hAnsi="Calibri Light" w:cs="Arial"/>
                <w:color w:val="000000"/>
                <w:sz w:val="21"/>
                <w:szCs w:val="21"/>
              </w:rPr>
              <w:t xml:space="preserve">or concerns, please contact Ken Hall at </w:t>
            </w:r>
            <w:hyperlink r:id="rId21" w:history="1">
              <w:r w:rsidR="00486177" w:rsidRPr="00521FFF">
                <w:rPr>
                  <w:rStyle w:val="Hyperlink"/>
                  <w:rFonts w:ascii="Calibri Light" w:hAnsi="Calibri Light" w:cs="Arial"/>
                  <w:color w:val="FF0000"/>
                  <w:sz w:val="21"/>
                  <w:szCs w:val="21"/>
                </w:rPr>
                <w:t>kwhall@utmb.edu</w:t>
              </w:r>
            </w:hyperlink>
            <w:r w:rsidR="00486177">
              <w:rPr>
                <w:rFonts w:ascii="Calibri Light" w:hAnsi="Calibri Light" w:cs="Arial"/>
                <w:color w:val="000000"/>
                <w:sz w:val="21"/>
                <w:szCs w:val="21"/>
              </w:rPr>
              <w:t>.</w:t>
            </w:r>
          </w:p>
          <w:p w14:paraId="22A6592A" w14:textId="77777777" w:rsidR="00486177" w:rsidRDefault="00486177" w:rsidP="009B6D01">
            <w:pPr>
              <w:ind w:left="720"/>
              <w:rPr>
                <w:rFonts w:ascii="Calibri Light" w:hAnsi="Calibri Light" w:cs="Arial"/>
                <w:color w:val="000000"/>
                <w:sz w:val="21"/>
                <w:szCs w:val="21"/>
              </w:rPr>
            </w:pPr>
          </w:p>
          <w:p w14:paraId="62B76617" w14:textId="77777777" w:rsidR="00486177" w:rsidRDefault="00486177" w:rsidP="009B6D01">
            <w:pPr>
              <w:ind w:left="720"/>
              <w:rPr>
                <w:rFonts w:ascii="Calibri Light" w:hAnsi="Calibri Light" w:cs="Arial"/>
                <w:color w:val="000000"/>
                <w:sz w:val="21"/>
                <w:szCs w:val="21"/>
              </w:rPr>
            </w:pPr>
          </w:p>
          <w:p w14:paraId="30D46549" w14:textId="77777777" w:rsidR="00486177" w:rsidRDefault="00486177" w:rsidP="009B6D01">
            <w:pPr>
              <w:ind w:left="720"/>
              <w:rPr>
                <w:rFonts w:ascii="Calibri Light" w:hAnsi="Calibri Light" w:cs="Arial"/>
                <w:color w:val="000000"/>
                <w:sz w:val="21"/>
                <w:szCs w:val="21"/>
              </w:rPr>
            </w:pPr>
          </w:p>
          <w:p w14:paraId="5F3E6EB2" w14:textId="77777777" w:rsidR="00486177" w:rsidRDefault="00486177" w:rsidP="009B6D01">
            <w:pPr>
              <w:ind w:left="720"/>
              <w:rPr>
                <w:rFonts w:ascii="Calibri Light" w:hAnsi="Calibri Light" w:cs="Arial"/>
                <w:color w:val="000000"/>
                <w:sz w:val="21"/>
                <w:szCs w:val="21"/>
              </w:rPr>
            </w:pPr>
          </w:p>
          <w:p w14:paraId="79297FF2" w14:textId="77777777" w:rsidR="00486177" w:rsidRDefault="00486177" w:rsidP="009B6D01">
            <w:pPr>
              <w:ind w:left="720"/>
              <w:rPr>
                <w:rFonts w:ascii="Calibri Light" w:hAnsi="Calibri Light" w:cs="Arial"/>
                <w:color w:val="000000"/>
                <w:sz w:val="21"/>
                <w:szCs w:val="21"/>
              </w:rPr>
            </w:pPr>
          </w:p>
          <w:p w14:paraId="481E6C96" w14:textId="77777777" w:rsidR="00486177" w:rsidRDefault="00486177" w:rsidP="009B6D01">
            <w:pPr>
              <w:ind w:left="720"/>
              <w:rPr>
                <w:rFonts w:ascii="Calibri Light" w:hAnsi="Calibri Light" w:cs="Arial"/>
                <w:color w:val="000000"/>
                <w:sz w:val="21"/>
                <w:szCs w:val="21"/>
              </w:rPr>
            </w:pPr>
          </w:p>
          <w:p w14:paraId="52389221" w14:textId="77777777" w:rsidR="00486177" w:rsidRPr="009B6D01" w:rsidRDefault="00486177" w:rsidP="009B6D01">
            <w:pPr>
              <w:ind w:left="720"/>
              <w:rPr>
                <w:rFonts w:ascii="Calibri Light" w:hAnsi="Calibri Light"/>
                <w:color w:val="000000"/>
                <w:sz w:val="21"/>
                <w:szCs w:val="21"/>
              </w:rPr>
            </w:pPr>
          </w:p>
          <w:p w14:paraId="3AC8F496" w14:textId="77777777" w:rsidR="009B6D01" w:rsidRPr="009B6D01" w:rsidRDefault="009B6D01" w:rsidP="009B6D01">
            <w:pPr>
              <w:rPr>
                <w:rFonts w:ascii="Calibri Light" w:eastAsia="Times New Roman" w:hAnsi="Calibri Light"/>
                <w:color w:val="000000"/>
                <w:sz w:val="21"/>
                <w:szCs w:val="21"/>
              </w:rPr>
            </w:pPr>
          </w:p>
          <w:p w14:paraId="619C956B" w14:textId="474B777F" w:rsidR="009B6D01" w:rsidRPr="009B6D01" w:rsidRDefault="009B6D01" w:rsidP="009B6D01">
            <w:pPr>
              <w:numPr>
                <w:ilvl w:val="0"/>
                <w:numId w:val="29"/>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Maximum vacation leave carryover: </w:t>
            </w:r>
            <w:r w:rsidRPr="009B6D01">
              <w:rPr>
                <w:rFonts w:ascii="Calibri Light" w:eastAsia="Times New Roman" w:hAnsi="Calibri Light" w:cs="Arial"/>
                <w:color w:val="000000"/>
                <w:sz w:val="21"/>
                <w:szCs w:val="21"/>
                <w:shd w:val="clear" w:color="auto" w:fill="FFFFFF"/>
              </w:rPr>
              <w:t>All employee leave time used through Aug. 31 must be reported, submitted and approved on timecards by 5 p.m. on Aug. 31. All vacation-leave balances that exceed the </w:t>
            </w:r>
            <w:hyperlink r:id="rId22" w:history="1">
              <w:r w:rsidRPr="00521FFF">
                <w:rPr>
                  <w:rStyle w:val="Hyperlink"/>
                  <w:rFonts w:ascii="Calibri Light" w:eastAsia="Times New Roman" w:hAnsi="Calibri Light" w:cs="Arial"/>
                  <w:color w:val="FF0000"/>
                  <w:sz w:val="21"/>
                  <w:szCs w:val="21"/>
                </w:rPr>
                <w:t>maximum carryover amounts</w:t>
              </w:r>
            </w:hyperlink>
            <w:r w:rsidRPr="009B6D01">
              <w:rPr>
                <w:rFonts w:ascii="Calibri Light" w:eastAsia="Times New Roman" w:hAnsi="Calibri Light" w:cs="Arial"/>
                <w:color w:val="000000"/>
                <w:sz w:val="21"/>
                <w:szCs w:val="21"/>
                <w:shd w:val="clear" w:color="auto" w:fill="FFFFFF"/>
              </w:rPr>
              <w:t> existing in KRONOS </w:t>
            </w:r>
            <w:r w:rsidRPr="009B6D01">
              <w:rPr>
                <w:rFonts w:ascii="Calibri Light" w:eastAsia="Times New Roman" w:hAnsi="Calibri Light" w:cs="Arial"/>
                <w:color w:val="000000"/>
                <w:sz w:val="21"/>
                <w:szCs w:val="21"/>
                <w:u w:val="single"/>
              </w:rPr>
              <w:t>after</w:t>
            </w:r>
            <w:r w:rsidRPr="009B6D01">
              <w:rPr>
                <w:rFonts w:ascii="Calibri Light" w:eastAsia="Times New Roman" w:hAnsi="Calibri Light" w:cs="Arial"/>
                <w:color w:val="000000"/>
                <w:sz w:val="21"/>
                <w:szCs w:val="21"/>
                <w:shd w:val="clear" w:color="auto" w:fill="FFFFFF"/>
              </w:rPr>
              <w:t> this date and time will be converted to sick leave. Payroll services will not be able to make any leave-time adjustments in FY18 for vacation-leave hours that have been converted to sick leave. Historical edit requests may be submitted until 5 p.m. on Aug 23; thereafter, requests should be directed to </w:t>
            </w:r>
            <w:hyperlink r:id="rId23" w:history="1">
              <w:r w:rsidRPr="00521FFF">
                <w:rPr>
                  <w:rStyle w:val="Hyperlink"/>
                  <w:rFonts w:ascii="Calibri Light" w:eastAsia="Times New Roman" w:hAnsi="Calibri Light" w:cs="Arial"/>
                  <w:color w:val="FF0000"/>
                  <w:sz w:val="21"/>
                  <w:szCs w:val="21"/>
                </w:rPr>
                <w:t>payroll.services@utmb.edu</w:t>
              </w:r>
            </w:hyperlink>
            <w:r w:rsidRPr="009B6D01">
              <w:rPr>
                <w:rFonts w:ascii="Calibri Light" w:eastAsia="Times New Roman" w:hAnsi="Calibri Light" w:cs="Arial"/>
                <w:color w:val="000000"/>
                <w:sz w:val="21"/>
                <w:szCs w:val="21"/>
                <w:shd w:val="clear" w:color="auto" w:fill="FFFFFF"/>
              </w:rPr>
              <w:t>.</w:t>
            </w:r>
          </w:p>
          <w:p w14:paraId="34EE66EE" w14:textId="77777777" w:rsidR="00CC3E2F" w:rsidRDefault="00CC3E2F" w:rsidP="000317BD">
            <w:pPr>
              <w:rPr>
                <w:rFonts w:ascii="Calibri Light" w:hAnsi="Calibri Light" w:cs="Calibri"/>
                <w:sz w:val="21"/>
                <w:szCs w:val="21"/>
              </w:rPr>
            </w:pPr>
          </w:p>
          <w:p w14:paraId="5F63B3AE" w14:textId="716C8285" w:rsidR="00486177" w:rsidRDefault="00486177"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7536" behindDoc="0" locked="0" layoutInCell="1" allowOverlap="1" wp14:anchorId="4E5656CE" wp14:editId="614D0536">
                  <wp:simplePos x="0" y="0"/>
                  <wp:positionH relativeFrom="column">
                    <wp:posOffset>-40005</wp:posOffset>
                  </wp:positionH>
                  <wp:positionV relativeFrom="paragraph">
                    <wp:posOffset>50930</wp:posOffset>
                  </wp:positionV>
                  <wp:extent cx="266700" cy="227330"/>
                  <wp:effectExtent l="0" t="0" r="1270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reminder:</w:t>
            </w:r>
            <w:r>
              <w:rPr>
                <w:rFonts w:ascii="Calibri Light" w:hAnsi="Calibri Light" w:cs="Arial"/>
                <w:bCs/>
                <w:color w:val="000000"/>
                <w:sz w:val="20"/>
                <w:szCs w:val="20"/>
              </w:rPr>
              <w:t xml:space="preserve"> </w:t>
            </w:r>
          </w:p>
          <w:p w14:paraId="1B8EF316" w14:textId="77777777" w:rsidR="00486177" w:rsidRDefault="00486177" w:rsidP="00486177">
            <w:pPr>
              <w:rPr>
                <w:rFonts w:ascii="Calibri Light" w:eastAsia="Times New Roman" w:hAnsi="Calibri Light"/>
                <w:sz w:val="21"/>
                <w:szCs w:val="21"/>
              </w:rPr>
            </w:pPr>
            <w:r w:rsidRPr="00486177">
              <w:rPr>
                <w:rFonts w:ascii="Calibri Light" w:eastAsia="Times New Roman" w:hAnsi="Calibri Light" w:cs="Arial"/>
                <w:color w:val="000000"/>
                <w:sz w:val="21"/>
                <w:szCs w:val="21"/>
                <w:shd w:val="clear" w:color="auto" w:fill="FFFFFF"/>
              </w:rPr>
              <w:t>Make sure refrigerator logs are completed daily. If temperatures are out of range, please document actions taken. For electronic monitoring of temperatures, staff should be able to describe the process. Please check regularly for expired food and medications, and ensure that the refrigerators are clean. Food and medication preparation areas must also be clean. Refrigeration checklists can be downloaded at </w:t>
            </w:r>
            <w:hyperlink r:id="rId24" w:history="1">
              <w:r w:rsidRPr="00521FFF">
                <w:rPr>
                  <w:rFonts w:ascii="Calibri Light" w:eastAsia="Times New Roman" w:hAnsi="Calibri Light" w:cs="Arial"/>
                  <w:color w:val="FF0000"/>
                  <w:sz w:val="21"/>
                  <w:szCs w:val="21"/>
                  <w:u w:val="single"/>
                </w:rPr>
                <w:t>https://intranet.utmb.edu/QHS/TheJointCommission/default.asp</w:t>
              </w:r>
            </w:hyperlink>
            <w:r w:rsidRPr="00521FFF">
              <w:rPr>
                <w:rFonts w:ascii="Calibri Light" w:eastAsia="Times New Roman" w:hAnsi="Calibri Light"/>
                <w:color w:val="FF0000"/>
                <w:sz w:val="21"/>
                <w:szCs w:val="21"/>
              </w:rPr>
              <w:t>.</w:t>
            </w:r>
          </w:p>
          <w:p w14:paraId="43382E9F" w14:textId="77777777" w:rsidR="00486177" w:rsidRDefault="00486177" w:rsidP="00486177">
            <w:pPr>
              <w:rPr>
                <w:rFonts w:ascii="Calibri Light" w:eastAsia="Times New Roman" w:hAnsi="Calibri Light"/>
                <w:sz w:val="21"/>
                <w:szCs w:val="21"/>
              </w:rPr>
            </w:pPr>
          </w:p>
          <w:p w14:paraId="08A410FD" w14:textId="05047A0A" w:rsidR="00486177" w:rsidRDefault="00486177" w:rsidP="00486177">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9584" behindDoc="0" locked="0" layoutInCell="1" allowOverlap="1" wp14:anchorId="58730060" wp14:editId="4EE25A63">
                  <wp:simplePos x="0" y="0"/>
                  <wp:positionH relativeFrom="column">
                    <wp:posOffset>-40005</wp:posOffset>
                  </wp:positionH>
                  <wp:positionV relativeFrom="paragraph">
                    <wp:posOffset>50930</wp:posOffset>
                  </wp:positionV>
                  <wp:extent cx="266700" cy="227330"/>
                  <wp:effectExtent l="0" t="0" r="1270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Do-the-2! Verify two patient identifiers, every patient, every tim</w:t>
            </w:r>
            <w:r w:rsidR="00DC1983">
              <w:rPr>
                <w:rFonts w:asciiTheme="majorHAnsi" w:hAnsiTheme="majorHAnsi"/>
                <w:b/>
              </w:rPr>
              <w:t>e:</w:t>
            </w:r>
          </w:p>
          <w:p w14:paraId="71D281E5" w14:textId="3447A716" w:rsidR="007D38E8" w:rsidRPr="007D38E8" w:rsidRDefault="007D38E8" w:rsidP="007D38E8">
            <w:pPr>
              <w:rPr>
                <w:rFonts w:ascii="Calibri Light" w:hAnsi="Calibri Light"/>
                <w:sz w:val="21"/>
                <w:szCs w:val="21"/>
              </w:rPr>
            </w:pPr>
            <w:r w:rsidRPr="007D38E8">
              <w:rPr>
                <w:rFonts w:ascii="Calibri Light" w:hAnsi="Calibri Light"/>
                <w:sz w:val="21"/>
                <w:szCs w:val="21"/>
              </w:rPr>
              <w:t>Patient identification mistakes can lead to errors in medication administration, incompatible blood transfusion reactions, failure to treat a serious illness or disease, medical treatment based on erroneous diagnostic lab results and procedures being performed on the wrong patient. To prevent instances of misidentification and near-misses, The Joint Commission requires that two identifiers—such as a </w:t>
            </w:r>
            <w:r w:rsidRPr="007D38E8">
              <w:rPr>
                <w:rFonts w:ascii="Calibri" w:hAnsi="Calibri"/>
                <w:b/>
                <w:bCs/>
                <w:sz w:val="21"/>
                <w:szCs w:val="21"/>
              </w:rPr>
              <w:t>patient’s full name </w:t>
            </w:r>
            <w:r w:rsidRPr="007D38E8">
              <w:rPr>
                <w:rFonts w:ascii="Calibri Light" w:hAnsi="Calibri Light"/>
                <w:sz w:val="21"/>
                <w:szCs w:val="21"/>
              </w:rPr>
              <w:t>and</w:t>
            </w:r>
            <w:r w:rsidRPr="007D38E8">
              <w:rPr>
                <w:rFonts w:ascii="Calibri" w:hAnsi="Calibri"/>
                <w:b/>
                <w:bCs/>
                <w:sz w:val="21"/>
                <w:szCs w:val="21"/>
              </w:rPr>
              <w:t> date of birth </w:t>
            </w:r>
            <w:r w:rsidRPr="007D38E8">
              <w:rPr>
                <w:rFonts w:ascii="Calibri Light" w:hAnsi="Calibri Light"/>
                <w:sz w:val="21"/>
                <w:szCs w:val="21"/>
              </w:rPr>
              <w:t>or</w:t>
            </w:r>
            <w:r w:rsidRPr="007D38E8">
              <w:rPr>
                <w:rFonts w:ascii="Calibri" w:hAnsi="Calibri"/>
                <w:b/>
                <w:bCs/>
                <w:sz w:val="21"/>
                <w:szCs w:val="21"/>
              </w:rPr>
              <w:t> medical record number (MRN)—</w:t>
            </w:r>
            <w:r w:rsidRPr="007D38E8">
              <w:rPr>
                <w:rFonts w:ascii="Calibri Light" w:hAnsi="Calibri Light"/>
                <w:sz w:val="21"/>
                <w:szCs w:val="21"/>
              </w:rPr>
              <w:t>be used for every patient encounter. Please note that the patient’s full name and medical record number (MRN) are required for all blood bank specimens.</w:t>
            </w:r>
          </w:p>
          <w:p w14:paraId="3347AA79" w14:textId="33CE1AC3" w:rsidR="00486177" w:rsidRPr="00463E09" w:rsidRDefault="007D38E8" w:rsidP="007D38E8">
            <w:pPr>
              <w:rPr>
                <w:rFonts w:ascii="Calibri Light" w:hAnsi="Calibri Light" w:cs="Calibri"/>
                <w:sz w:val="21"/>
                <w:szCs w:val="21"/>
              </w:rPr>
            </w:pPr>
            <w:r w:rsidRPr="00463E09">
              <w:rPr>
                <w:rFonts w:ascii="Calibri Light" w:hAnsi="Calibri Light" w:cs="Calibri"/>
                <w:sz w:val="21"/>
                <w:szCs w:val="21"/>
              </w:rPr>
              <w:t xml:space="preserve"> </w:t>
            </w:r>
          </w:p>
          <w:p w14:paraId="71B9F6D8" w14:textId="739A7936" w:rsidR="00A76BDE" w:rsidRDefault="001E558C" w:rsidP="00A76BDE">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5488" behindDoc="0" locked="0" layoutInCell="1" allowOverlap="1" wp14:anchorId="566C81D9" wp14:editId="7E2074B5">
                  <wp:simplePos x="0" y="0"/>
                  <wp:positionH relativeFrom="column">
                    <wp:posOffset>-40005</wp:posOffset>
                  </wp:positionH>
                  <wp:positionV relativeFrom="paragraph">
                    <wp:posOffset>50930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A76BDE">
              <w:rPr>
                <w:rFonts w:asciiTheme="majorHAnsi" w:hAnsiTheme="majorHAnsi"/>
                <w:b/>
              </w:rPr>
              <w:t xml:space="preserve">       AHRQ Culture of Safety Survey (Ambulatory):</w:t>
            </w:r>
            <w:r w:rsidR="00A76BDE">
              <w:rPr>
                <w:rFonts w:ascii="Calibri Light" w:hAnsi="Calibri Light" w:cs="Arial"/>
                <w:bCs/>
                <w:color w:val="000000"/>
                <w:sz w:val="20"/>
                <w:szCs w:val="20"/>
              </w:rPr>
              <w:t xml:space="preserve"> </w:t>
            </w:r>
          </w:p>
          <w:p w14:paraId="397AB352" w14:textId="3BE1CF68" w:rsidR="00486177" w:rsidRPr="007D38E8" w:rsidRDefault="00486177" w:rsidP="000317BD">
            <w:pPr>
              <w:rPr>
                <w:rFonts w:ascii="Calibri Light" w:eastAsia="Times New Roman" w:hAnsi="Calibri Light"/>
                <w:color w:val="000000" w:themeColor="text1"/>
                <w:sz w:val="21"/>
                <w:szCs w:val="21"/>
              </w:rPr>
            </w:pPr>
            <w:r w:rsidRPr="00486177">
              <w:rPr>
                <w:rFonts w:ascii="Calibri Light" w:eastAsia="Times New Roman" w:hAnsi="Calibri Light" w:cs="Arial"/>
                <w:color w:val="000000" w:themeColor="text1"/>
                <w:sz w:val="21"/>
                <w:szCs w:val="21"/>
                <w:shd w:val="clear" w:color="auto" w:fill="FFFFFF"/>
              </w:rPr>
              <w:t>As part of our ongoing effort to ensure a safe healing environment for our patients, we ask that every clinical faculty and staff member who works in an ambulatory setting participate in this year's Agency for Healthcare Research and Quality (AHRQ) Culture of Safety Survey geared to primary and specialty care clinics. The survey tool was first</w:t>
            </w:r>
            <w:r>
              <w:rPr>
                <w:rFonts w:ascii="Calibri Light" w:eastAsia="Times New Roman" w:hAnsi="Calibri Light" w:cs="Arial"/>
                <w:color w:val="000000" w:themeColor="text1"/>
                <w:sz w:val="21"/>
                <w:szCs w:val="21"/>
                <w:shd w:val="clear" w:color="auto" w:fill="FFFFFF"/>
              </w:rPr>
              <w:t xml:space="preserve"> distributed July 24 via email </w:t>
            </w:r>
            <w:r w:rsidRPr="00486177">
              <w:rPr>
                <w:rFonts w:ascii="Calibri Light" w:eastAsia="Times New Roman" w:hAnsi="Calibri Light" w:cs="Arial"/>
                <w:color w:val="000000" w:themeColor="text1"/>
                <w:sz w:val="21"/>
                <w:szCs w:val="21"/>
                <w:shd w:val="clear" w:color="auto" w:fill="FFFFFF"/>
              </w:rPr>
              <w:t>and will be open</w:t>
            </w:r>
            <w:r w:rsidRPr="00486177">
              <w:rPr>
                <w:rStyle w:val="apple-converted-space"/>
                <w:rFonts w:ascii="Calibri Light" w:eastAsia="Times New Roman" w:hAnsi="Calibri Light" w:cs="Arial"/>
                <w:color w:val="000000" w:themeColor="text1"/>
                <w:sz w:val="21"/>
                <w:szCs w:val="21"/>
                <w:shd w:val="clear" w:color="auto" w:fill="FFFFFF"/>
              </w:rPr>
              <w:t> </w:t>
            </w:r>
            <w:r w:rsidRPr="00486177">
              <w:rPr>
                <w:rFonts w:ascii="Calibri Light" w:eastAsia="Times New Roman" w:hAnsi="Calibri Light" w:cs="Arial"/>
                <w:color w:val="000000" w:themeColor="text1"/>
                <w:sz w:val="21"/>
                <w:szCs w:val="21"/>
              </w:rPr>
              <w:t>until Aug. 18</w:t>
            </w:r>
            <w:r w:rsidRPr="00486177">
              <w:rPr>
                <w:rFonts w:ascii="Calibri Light" w:eastAsia="Times New Roman" w:hAnsi="Calibri Light" w:cs="Arial"/>
                <w:color w:val="000000" w:themeColor="text1"/>
                <w:sz w:val="21"/>
                <w:szCs w:val="21"/>
                <w:shd w:val="clear" w:color="auto" w:fill="FFFFFF"/>
              </w:rPr>
              <w:t>. Your answers are completely confidential and should take no mor</w:t>
            </w:r>
            <w:r>
              <w:rPr>
                <w:rFonts w:ascii="Calibri Light" w:eastAsia="Times New Roman" w:hAnsi="Calibri Light" w:cs="Arial"/>
                <w:color w:val="000000" w:themeColor="text1"/>
                <w:sz w:val="21"/>
                <w:szCs w:val="21"/>
                <w:shd w:val="clear" w:color="auto" w:fill="FFFFFF"/>
              </w:rPr>
              <w:t>e than 10 minutes to complete. </w:t>
            </w:r>
            <w:r w:rsidRPr="00486177">
              <w:rPr>
                <w:rFonts w:ascii="Calibri Light" w:eastAsia="Times New Roman" w:hAnsi="Calibri Light" w:cs="Arial"/>
                <w:color w:val="000000" w:themeColor="text1"/>
                <w:sz w:val="21"/>
                <w:szCs w:val="21"/>
                <w:shd w:val="clear" w:color="auto" w:fill="FFFFFF"/>
              </w:rPr>
              <w:t>For more information on the survey, please visit </w:t>
            </w:r>
            <w:hyperlink r:id="rId25" w:history="1">
              <w:r w:rsidRPr="00486177">
                <w:rPr>
                  <w:rStyle w:val="Hyperlink"/>
                  <w:rFonts w:ascii="Calibri Light" w:eastAsia="Times New Roman" w:hAnsi="Calibri Light" w:cs="Arial"/>
                  <w:color w:val="FF0000"/>
                  <w:sz w:val="21"/>
                  <w:szCs w:val="21"/>
                </w:rPr>
                <w:t>https://utmb.us/224</w:t>
              </w:r>
            </w:hyperlink>
            <w:r w:rsidRPr="00486177">
              <w:rPr>
                <w:rFonts w:ascii="Calibri Light" w:eastAsia="Times New Roman" w:hAnsi="Calibri Light" w:cs="Arial"/>
                <w:color w:val="000000" w:themeColor="text1"/>
                <w:sz w:val="21"/>
                <w:szCs w:val="21"/>
                <w:shd w:val="clear" w:color="auto" w:fill="FFFFFF"/>
              </w:rPr>
              <w:t>.</w:t>
            </w:r>
          </w:p>
        </w:tc>
        <w:tc>
          <w:tcPr>
            <w:tcW w:w="5963" w:type="dxa"/>
            <w:gridSpan w:val="2"/>
            <w:tcBorders>
              <w:left w:val="single" w:sz="4" w:space="0" w:color="auto"/>
              <w:right w:val="single" w:sz="8" w:space="0" w:color="auto"/>
            </w:tcBorders>
            <w:shd w:val="clear" w:color="auto" w:fill="FFFFFF" w:themeFill="background1"/>
          </w:tcPr>
          <w:p w14:paraId="31C4CD68" w14:textId="77777777" w:rsidR="009B6D01" w:rsidRPr="009B6D01" w:rsidRDefault="009B6D01" w:rsidP="009B6D01">
            <w:pPr>
              <w:rPr>
                <w:rFonts w:ascii="Calibri Light" w:eastAsia="Times New Roman" w:hAnsi="Calibri Light"/>
                <w:color w:val="000000"/>
                <w:sz w:val="21"/>
                <w:szCs w:val="21"/>
              </w:rPr>
            </w:pPr>
          </w:p>
          <w:p w14:paraId="6608E146" w14:textId="77777777" w:rsidR="009B6D01" w:rsidRPr="009B6D01" w:rsidRDefault="009B6D01" w:rsidP="009B6D01">
            <w:pPr>
              <w:numPr>
                <w:ilvl w:val="0"/>
                <w:numId w:val="29"/>
              </w:numPr>
              <w:rPr>
                <w:rFonts w:ascii="Calibri Light" w:eastAsia="Times New Roman" w:hAnsi="Calibri Light"/>
                <w:color w:val="000000"/>
                <w:sz w:val="21"/>
                <w:szCs w:val="21"/>
              </w:rPr>
            </w:pPr>
            <w:r w:rsidRPr="00CC3E2F">
              <w:rPr>
                <w:rFonts w:ascii="Calibri" w:eastAsia="Times New Roman" w:hAnsi="Calibri" w:cs="Arial"/>
                <w:b/>
                <w:bCs/>
                <w:color w:val="000000"/>
                <w:sz w:val="21"/>
                <w:szCs w:val="21"/>
              </w:rPr>
              <w:t>Annual Compliance Training: </w:t>
            </w:r>
            <w:r w:rsidRPr="00CC3E2F">
              <w:rPr>
                <w:rFonts w:ascii="Calibri Light" w:eastAsia="Times New Roman" w:hAnsi="Calibri Light" w:cs="Arial"/>
                <w:color w:val="000000"/>
                <w:sz w:val="21"/>
                <w:szCs w:val="21"/>
              </w:rPr>
              <w:t>The institutional deadline to complete your annual compliance training is Aug. 31. Please take a few minutes today to log in to the </w:t>
            </w:r>
            <w:hyperlink r:id="rId26" w:history="1">
              <w:r w:rsidRPr="00521FFF">
                <w:rPr>
                  <w:rStyle w:val="Hyperlink"/>
                  <w:rFonts w:ascii="Calibri Light" w:eastAsia="Times New Roman" w:hAnsi="Calibri Light" w:cs="Arial"/>
                  <w:color w:val="FF0000"/>
                  <w:sz w:val="21"/>
                  <w:szCs w:val="21"/>
                </w:rPr>
                <w:t>Enterprise Learning Management system</w:t>
              </w:r>
            </w:hyperlink>
            <w:r w:rsidRPr="00CC3E2F">
              <w:rPr>
                <w:rFonts w:ascii="Calibri Light" w:eastAsia="Times New Roman" w:hAnsi="Calibri Light" w:cs="Arial"/>
                <w:color w:val="000000"/>
                <w:sz w:val="21"/>
                <w:szCs w:val="21"/>
              </w:rPr>
              <w:t> and finish any remaining activities. To assist with this annual requirement, a final classroom session of the General Training Review will be held Aug. 10 from 2 to 4:30 p.m. in Research Building 6, Room 1.206, on the Galveston Campus. This instructor-led class is offered as an alternative to the online courses and covers general compliance, HIPAA, sexual harassment, equal employment opportunity law, information protection, fire safety and threatening situations. Registration isn’t necessary. Employees who do not complete their training by the Aug. 31 deadline will be suspended without pay until all requirements are met. Contact your manager or the Office of Institutional Compliance at (409) 747-8700 with questions.</w:t>
            </w:r>
          </w:p>
          <w:p w14:paraId="4D5D6FEE" w14:textId="77777777" w:rsidR="009B6D01" w:rsidRPr="009B6D01" w:rsidRDefault="009B6D01" w:rsidP="009B6D01">
            <w:pPr>
              <w:ind w:left="720"/>
              <w:rPr>
                <w:rFonts w:ascii="Calibri Light" w:eastAsia="Times New Roman" w:hAnsi="Calibri Light"/>
                <w:color w:val="000000"/>
                <w:sz w:val="21"/>
                <w:szCs w:val="21"/>
              </w:rPr>
            </w:pPr>
          </w:p>
          <w:p w14:paraId="52EF9CC1" w14:textId="77777777" w:rsidR="009B6D01" w:rsidRPr="009B6D01" w:rsidRDefault="009B6D01" w:rsidP="009B6D01">
            <w:pPr>
              <w:numPr>
                <w:ilvl w:val="0"/>
                <w:numId w:val="29"/>
              </w:numPr>
              <w:rPr>
                <w:rFonts w:ascii="Calibri Light" w:eastAsia="Times New Roman" w:hAnsi="Calibri Light"/>
                <w:color w:val="000000"/>
                <w:sz w:val="21"/>
                <w:szCs w:val="21"/>
              </w:rPr>
            </w:pPr>
            <w:r w:rsidRPr="009B6D01">
              <w:rPr>
                <w:rFonts w:ascii="Calibri" w:eastAsia="Times New Roman" w:hAnsi="Calibri" w:cs="Arial"/>
                <w:b/>
                <w:bCs/>
                <w:color w:val="000000"/>
                <w:sz w:val="21"/>
                <w:szCs w:val="21"/>
              </w:rPr>
              <w:t>UT FLEX Program: </w:t>
            </w:r>
            <w:r w:rsidRPr="009B6D01">
              <w:rPr>
                <w:rFonts w:ascii="Calibri Light" w:eastAsia="Times New Roman" w:hAnsi="Calibri Light" w:cs="Arial"/>
                <w:color w:val="000000"/>
                <w:sz w:val="21"/>
                <w:szCs w:val="21"/>
              </w:rPr>
              <w:t>Employees participating in the FY17 UT FLEX program are reminded to check their flexible spending account balance(s) and to use up any remaining funds. To view your account balance(s), spending guidelines and eligible health care and dependent care expenses, go to </w:t>
            </w:r>
            <w:hyperlink r:id="rId27" w:tgtFrame="_blank" w:history="1">
              <w:r w:rsidRPr="00521FFF">
                <w:rPr>
                  <w:rStyle w:val="Hyperlink"/>
                  <w:rFonts w:ascii="Calibri Light" w:eastAsia="Times New Roman" w:hAnsi="Calibri Light" w:cs="Arial"/>
                  <w:color w:val="FF0000"/>
                  <w:sz w:val="21"/>
                  <w:szCs w:val="21"/>
                </w:rPr>
                <w:t>www.myutflex.com</w:t>
              </w:r>
            </w:hyperlink>
            <w:r w:rsidRPr="009B6D01">
              <w:rPr>
                <w:rFonts w:ascii="Calibri Light" w:eastAsia="Times New Roman" w:hAnsi="Calibri Light" w:cs="Arial"/>
                <w:color w:val="000000"/>
                <w:sz w:val="21"/>
                <w:szCs w:val="21"/>
              </w:rPr>
              <w:t>. Please note that funds left over at the end of the plan year and subsequent grace period will be lost.</w:t>
            </w:r>
          </w:p>
          <w:p w14:paraId="5A8BD586" w14:textId="77777777" w:rsidR="009B6D01" w:rsidRPr="009B6D01" w:rsidRDefault="009B6D01" w:rsidP="00486177">
            <w:pPr>
              <w:rPr>
                <w:rFonts w:ascii="Calibri Light" w:eastAsia="Times New Roman" w:hAnsi="Calibri Light"/>
                <w:color w:val="000000"/>
                <w:sz w:val="21"/>
                <w:szCs w:val="21"/>
              </w:rPr>
            </w:pPr>
          </w:p>
          <w:p w14:paraId="18380013" w14:textId="7D7B6D74" w:rsidR="009B6D01" w:rsidRPr="00486177" w:rsidRDefault="00486177" w:rsidP="00486177">
            <w:pPr>
              <w:rPr>
                <w:rFonts w:ascii="Calibri Light" w:eastAsia="Times New Roman" w:hAnsi="Calibri Light" w:cs="Arial"/>
                <w:color w:val="A6A6A6" w:themeColor="background1" w:themeShade="A6"/>
                <w:sz w:val="21"/>
                <w:szCs w:val="21"/>
              </w:rPr>
            </w:pPr>
            <w:r w:rsidRPr="00486177">
              <w:rPr>
                <w:rFonts w:ascii="Calibri Light" w:eastAsia="Times New Roman" w:hAnsi="Calibri Light" w:cs="Arial"/>
                <w:color w:val="A6A6A6" w:themeColor="background1" w:themeShade="A6"/>
                <w:sz w:val="21"/>
                <w:szCs w:val="21"/>
              </w:rPr>
              <w:t>(continued on next page)</w:t>
            </w:r>
          </w:p>
        </w:tc>
      </w:tr>
      <w:tr w:rsidR="00824F3C" w14:paraId="09FE0D10" w14:textId="77777777" w:rsidTr="00E12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4CF0B0BE" w:rsidR="00F00004" w:rsidRPr="00E12CC3" w:rsidRDefault="009B6D01" w:rsidP="00C11D6F">
            <w:pPr>
              <w:rPr>
                <w:rFonts w:ascii="Calibri Light" w:hAnsi="Calibri Light"/>
                <w:sz w:val="21"/>
                <w:szCs w:val="21"/>
              </w:rPr>
            </w:pPr>
            <w:r w:rsidRPr="009B6D01">
              <w:rPr>
                <w:rFonts w:ascii="Calibri Light" w:hAnsi="Calibri Light"/>
                <w:sz w:val="21"/>
                <w:szCs w:val="21"/>
              </w:rPr>
              <w:t>Since 2011, UTMB has participated in CenterPoint Energy’s SCORE (Schools Conserving Resources) Market Transformation Program that assists customers in iden</w:t>
            </w:r>
            <w:r w:rsidR="00DC1983">
              <w:rPr>
                <w:rFonts w:ascii="Calibri Light" w:hAnsi="Calibri Light"/>
                <w:sz w:val="21"/>
                <w:szCs w:val="21"/>
              </w:rPr>
              <w:t>tifying and implementing energy-</w:t>
            </w:r>
            <w:r w:rsidRPr="009B6D01">
              <w:rPr>
                <w:rFonts w:ascii="Calibri Light" w:hAnsi="Calibri Light"/>
                <w:sz w:val="21"/>
                <w:szCs w:val="21"/>
              </w:rPr>
              <w:t>efficiency opportunities. On July 28, UTMB was awarded an incentive of $180,443 for our recent West Energy Plant chiller replacement project on the Galveston Campus. In total, UTMB has received more than $700,000 in SCORE energy reduction incentives through our LED retrofit lighting and chiller replacement projects. Congratulations to the Engineering and Reliability Services team in Business Operations and Facilit</w:t>
            </w:r>
            <w:r w:rsidR="00585FEB">
              <w:rPr>
                <w:rFonts w:ascii="Calibri Light" w:hAnsi="Calibri Light"/>
                <w:sz w:val="21"/>
                <w:szCs w:val="21"/>
              </w:rPr>
              <w:t>ies for all of their hard work!</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D7C8F" w14:textId="77777777" w:rsidR="00423432" w:rsidRDefault="00423432" w:rsidP="00874B86">
      <w:r>
        <w:separator/>
      </w:r>
    </w:p>
  </w:endnote>
  <w:endnote w:type="continuationSeparator" w:id="0">
    <w:p w14:paraId="4C11F24D" w14:textId="77777777" w:rsidR="00423432" w:rsidRDefault="004234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AD557" w14:textId="77777777" w:rsidR="00423432" w:rsidRDefault="00423432" w:rsidP="00874B86">
      <w:r>
        <w:separator/>
      </w:r>
    </w:p>
  </w:footnote>
  <w:footnote w:type="continuationSeparator" w:id="0">
    <w:p w14:paraId="7D928750" w14:textId="77777777" w:rsidR="00423432" w:rsidRDefault="00423432"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8359B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C47F85"/>
    <w:multiLevelType w:val="hybridMultilevel"/>
    <w:tmpl w:val="D1E83CB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nsid w:val="0D680ABC"/>
    <w:multiLevelType w:val="multilevel"/>
    <w:tmpl w:val="E694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834D4"/>
    <w:multiLevelType w:val="multilevel"/>
    <w:tmpl w:val="DA2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0210A5"/>
    <w:multiLevelType w:val="multilevel"/>
    <w:tmpl w:val="83DC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A65C8"/>
    <w:multiLevelType w:val="hybridMultilevel"/>
    <w:tmpl w:val="D0FE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5">
    <w:nsid w:val="5E8B4407"/>
    <w:multiLevelType w:val="hybridMultilevel"/>
    <w:tmpl w:val="EA9CE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2E483E"/>
    <w:multiLevelType w:val="multilevel"/>
    <w:tmpl w:val="9268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264BD9"/>
    <w:multiLevelType w:val="multilevel"/>
    <w:tmpl w:val="F03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DCC533B"/>
    <w:multiLevelType w:val="multilevel"/>
    <w:tmpl w:val="9198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0A0B71"/>
    <w:multiLevelType w:val="multilevel"/>
    <w:tmpl w:val="46D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1"/>
  </w:num>
  <w:num w:numId="3">
    <w:abstractNumId w:val="19"/>
  </w:num>
  <w:num w:numId="4">
    <w:abstractNumId w:val="0"/>
  </w:num>
  <w:num w:numId="5">
    <w:abstractNumId w:val="1"/>
  </w:num>
  <w:num w:numId="6">
    <w:abstractNumId w:val="2"/>
  </w:num>
  <w:num w:numId="7">
    <w:abstractNumId w:val="4"/>
  </w:num>
  <w:num w:numId="8">
    <w:abstractNumId w:val="24"/>
  </w:num>
  <w:num w:numId="9">
    <w:abstractNumId w:val="12"/>
  </w:num>
  <w:num w:numId="10">
    <w:abstractNumId w:val="15"/>
  </w:num>
  <w:num w:numId="11">
    <w:abstractNumId w:val="14"/>
  </w:num>
  <w:num w:numId="12">
    <w:abstractNumId w:val="7"/>
  </w:num>
  <w:num w:numId="13">
    <w:abstractNumId w:val="20"/>
  </w:num>
  <w:num w:numId="14">
    <w:abstractNumId w:val="17"/>
  </w:num>
  <w:num w:numId="15">
    <w:abstractNumId w:val="31"/>
  </w:num>
  <w:num w:numId="16">
    <w:abstractNumId w:val="13"/>
  </w:num>
  <w:num w:numId="17">
    <w:abstractNumId w:val="29"/>
  </w:num>
  <w:num w:numId="18">
    <w:abstractNumId w:val="8"/>
  </w:num>
  <w:num w:numId="19">
    <w:abstractNumId w:val="18"/>
  </w:num>
  <w:num w:numId="20">
    <w:abstractNumId w:val="26"/>
  </w:num>
  <w:num w:numId="21">
    <w:abstractNumId w:val="32"/>
  </w:num>
  <w:num w:numId="22">
    <w:abstractNumId w:val="11"/>
  </w:num>
  <w:num w:numId="23">
    <w:abstractNumId w:val="23"/>
  </w:num>
  <w:num w:numId="24">
    <w:abstractNumId w:val="27"/>
  </w:num>
  <w:num w:numId="25">
    <w:abstractNumId w:val="9"/>
  </w:num>
  <w:num w:numId="26">
    <w:abstractNumId w:val="30"/>
  </w:num>
  <w:num w:numId="27">
    <w:abstractNumId w:val="5"/>
  </w:num>
  <w:num w:numId="28">
    <w:abstractNumId w:val="34"/>
  </w:num>
  <w:num w:numId="29">
    <w:abstractNumId w:val="28"/>
  </w:num>
  <w:num w:numId="30">
    <w:abstractNumId w:val="10"/>
  </w:num>
  <w:num w:numId="31">
    <w:abstractNumId w:val="33"/>
  </w:num>
  <w:num w:numId="32">
    <w:abstractNumId w:val="16"/>
  </w:num>
  <w:num w:numId="33">
    <w:abstractNumId w:val="25"/>
  </w:num>
  <w:num w:numId="34">
    <w:abstractNumId w:val="22"/>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8142C"/>
    <w:rsid w:val="0008270F"/>
    <w:rsid w:val="00085BFB"/>
    <w:rsid w:val="00087000"/>
    <w:rsid w:val="00090A81"/>
    <w:rsid w:val="00093965"/>
    <w:rsid w:val="000966FD"/>
    <w:rsid w:val="000A26D9"/>
    <w:rsid w:val="000A297A"/>
    <w:rsid w:val="000A36BE"/>
    <w:rsid w:val="000B2BB1"/>
    <w:rsid w:val="000B381B"/>
    <w:rsid w:val="000B6351"/>
    <w:rsid w:val="000B666C"/>
    <w:rsid w:val="000B7007"/>
    <w:rsid w:val="000B73A7"/>
    <w:rsid w:val="000C1FC9"/>
    <w:rsid w:val="000C69D6"/>
    <w:rsid w:val="000D61E4"/>
    <w:rsid w:val="000D665C"/>
    <w:rsid w:val="000E2A13"/>
    <w:rsid w:val="000E4374"/>
    <w:rsid w:val="000E5188"/>
    <w:rsid w:val="000E69B8"/>
    <w:rsid w:val="000F03B2"/>
    <w:rsid w:val="000F2189"/>
    <w:rsid w:val="000F53C0"/>
    <w:rsid w:val="000F5506"/>
    <w:rsid w:val="000F5AD3"/>
    <w:rsid w:val="000F72D3"/>
    <w:rsid w:val="0010121E"/>
    <w:rsid w:val="0010152B"/>
    <w:rsid w:val="0010166A"/>
    <w:rsid w:val="00112068"/>
    <w:rsid w:val="0011321F"/>
    <w:rsid w:val="00117586"/>
    <w:rsid w:val="001276F3"/>
    <w:rsid w:val="001325DC"/>
    <w:rsid w:val="00151100"/>
    <w:rsid w:val="00153DDE"/>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3AE0"/>
    <w:rsid w:val="001E558C"/>
    <w:rsid w:val="001E6192"/>
    <w:rsid w:val="001E7922"/>
    <w:rsid w:val="001F26BB"/>
    <w:rsid w:val="001F63BC"/>
    <w:rsid w:val="002029B1"/>
    <w:rsid w:val="00202B35"/>
    <w:rsid w:val="00202D78"/>
    <w:rsid w:val="00206437"/>
    <w:rsid w:val="00206C2F"/>
    <w:rsid w:val="00211C98"/>
    <w:rsid w:val="00212566"/>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87C5A"/>
    <w:rsid w:val="0029184A"/>
    <w:rsid w:val="00291B1E"/>
    <w:rsid w:val="002945FF"/>
    <w:rsid w:val="00297C7D"/>
    <w:rsid w:val="00297EB4"/>
    <w:rsid w:val="002A1314"/>
    <w:rsid w:val="002A389B"/>
    <w:rsid w:val="002A43E0"/>
    <w:rsid w:val="002B4013"/>
    <w:rsid w:val="002B6F31"/>
    <w:rsid w:val="002C19C8"/>
    <w:rsid w:val="002C33E2"/>
    <w:rsid w:val="002C3CE6"/>
    <w:rsid w:val="002D0DE5"/>
    <w:rsid w:val="002D51F3"/>
    <w:rsid w:val="002D762C"/>
    <w:rsid w:val="002E05A2"/>
    <w:rsid w:val="002F312B"/>
    <w:rsid w:val="002F3332"/>
    <w:rsid w:val="002F5710"/>
    <w:rsid w:val="003136F1"/>
    <w:rsid w:val="00314842"/>
    <w:rsid w:val="00321AF8"/>
    <w:rsid w:val="003224F1"/>
    <w:rsid w:val="00324F34"/>
    <w:rsid w:val="0033116D"/>
    <w:rsid w:val="00332E95"/>
    <w:rsid w:val="003352C1"/>
    <w:rsid w:val="00336E1A"/>
    <w:rsid w:val="00337455"/>
    <w:rsid w:val="0034257F"/>
    <w:rsid w:val="003442B5"/>
    <w:rsid w:val="00353BB0"/>
    <w:rsid w:val="00360B73"/>
    <w:rsid w:val="0036546F"/>
    <w:rsid w:val="00366EDC"/>
    <w:rsid w:val="00381C8B"/>
    <w:rsid w:val="00383F66"/>
    <w:rsid w:val="003929D4"/>
    <w:rsid w:val="003960FE"/>
    <w:rsid w:val="003A09D9"/>
    <w:rsid w:val="003A164D"/>
    <w:rsid w:val="003A20EF"/>
    <w:rsid w:val="003A3D5E"/>
    <w:rsid w:val="003A4577"/>
    <w:rsid w:val="003C139A"/>
    <w:rsid w:val="003C153E"/>
    <w:rsid w:val="003C4E41"/>
    <w:rsid w:val="003C7C60"/>
    <w:rsid w:val="003D0B4E"/>
    <w:rsid w:val="003D338D"/>
    <w:rsid w:val="003D7706"/>
    <w:rsid w:val="003D7E2A"/>
    <w:rsid w:val="003E061E"/>
    <w:rsid w:val="003E3FC0"/>
    <w:rsid w:val="003E5BB0"/>
    <w:rsid w:val="003F0266"/>
    <w:rsid w:val="003F3914"/>
    <w:rsid w:val="00415311"/>
    <w:rsid w:val="00420426"/>
    <w:rsid w:val="00423432"/>
    <w:rsid w:val="00427614"/>
    <w:rsid w:val="0042789B"/>
    <w:rsid w:val="004344E8"/>
    <w:rsid w:val="004442B2"/>
    <w:rsid w:val="00452691"/>
    <w:rsid w:val="00456E37"/>
    <w:rsid w:val="0046357C"/>
    <w:rsid w:val="00463E09"/>
    <w:rsid w:val="00463F9C"/>
    <w:rsid w:val="00466810"/>
    <w:rsid w:val="0047101D"/>
    <w:rsid w:val="0048017F"/>
    <w:rsid w:val="004858C4"/>
    <w:rsid w:val="00486177"/>
    <w:rsid w:val="004938E0"/>
    <w:rsid w:val="00496356"/>
    <w:rsid w:val="004A2F43"/>
    <w:rsid w:val="004A48A1"/>
    <w:rsid w:val="004A6B9E"/>
    <w:rsid w:val="004A7BEA"/>
    <w:rsid w:val="004B3A59"/>
    <w:rsid w:val="004C1619"/>
    <w:rsid w:val="004C3BE1"/>
    <w:rsid w:val="004C4313"/>
    <w:rsid w:val="004C7065"/>
    <w:rsid w:val="004F5E00"/>
    <w:rsid w:val="004F74F1"/>
    <w:rsid w:val="004F7EC6"/>
    <w:rsid w:val="0050013D"/>
    <w:rsid w:val="00502D6C"/>
    <w:rsid w:val="005060DE"/>
    <w:rsid w:val="0051366B"/>
    <w:rsid w:val="00516278"/>
    <w:rsid w:val="0052069E"/>
    <w:rsid w:val="00521FFF"/>
    <w:rsid w:val="00524DCF"/>
    <w:rsid w:val="0052538F"/>
    <w:rsid w:val="00526B9C"/>
    <w:rsid w:val="00532D16"/>
    <w:rsid w:val="00536B2A"/>
    <w:rsid w:val="00543D38"/>
    <w:rsid w:val="00544157"/>
    <w:rsid w:val="005458B9"/>
    <w:rsid w:val="005464D9"/>
    <w:rsid w:val="0055137B"/>
    <w:rsid w:val="005529B6"/>
    <w:rsid w:val="00554E79"/>
    <w:rsid w:val="005600FC"/>
    <w:rsid w:val="005637B8"/>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541C"/>
    <w:rsid w:val="00652FB7"/>
    <w:rsid w:val="00655499"/>
    <w:rsid w:val="006609CA"/>
    <w:rsid w:val="00662FE8"/>
    <w:rsid w:val="006804EC"/>
    <w:rsid w:val="00680E61"/>
    <w:rsid w:val="00682DCE"/>
    <w:rsid w:val="00694829"/>
    <w:rsid w:val="006959E7"/>
    <w:rsid w:val="0069634D"/>
    <w:rsid w:val="006A7BC7"/>
    <w:rsid w:val="006B1031"/>
    <w:rsid w:val="006B1B4F"/>
    <w:rsid w:val="006B68AF"/>
    <w:rsid w:val="006D30D7"/>
    <w:rsid w:val="006E1D9C"/>
    <w:rsid w:val="006E6A62"/>
    <w:rsid w:val="006F28BD"/>
    <w:rsid w:val="006F5026"/>
    <w:rsid w:val="00701024"/>
    <w:rsid w:val="007021E5"/>
    <w:rsid w:val="0071465A"/>
    <w:rsid w:val="007150CA"/>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704B6"/>
    <w:rsid w:val="00770893"/>
    <w:rsid w:val="00772C83"/>
    <w:rsid w:val="007741A7"/>
    <w:rsid w:val="00777A9D"/>
    <w:rsid w:val="00787883"/>
    <w:rsid w:val="00790A71"/>
    <w:rsid w:val="0079222C"/>
    <w:rsid w:val="00793B02"/>
    <w:rsid w:val="007A00A3"/>
    <w:rsid w:val="007A132B"/>
    <w:rsid w:val="007A1EB2"/>
    <w:rsid w:val="007A6F4E"/>
    <w:rsid w:val="007B196E"/>
    <w:rsid w:val="007B7890"/>
    <w:rsid w:val="007D16A8"/>
    <w:rsid w:val="007D38E8"/>
    <w:rsid w:val="007D3EB3"/>
    <w:rsid w:val="007D73C2"/>
    <w:rsid w:val="007E1186"/>
    <w:rsid w:val="007E5EBB"/>
    <w:rsid w:val="007F5801"/>
    <w:rsid w:val="007F788A"/>
    <w:rsid w:val="008032C3"/>
    <w:rsid w:val="00803F67"/>
    <w:rsid w:val="00804F92"/>
    <w:rsid w:val="00816D2E"/>
    <w:rsid w:val="00817D05"/>
    <w:rsid w:val="0082303B"/>
    <w:rsid w:val="0082346E"/>
    <w:rsid w:val="00824F3C"/>
    <w:rsid w:val="00825D37"/>
    <w:rsid w:val="00831B07"/>
    <w:rsid w:val="008325B7"/>
    <w:rsid w:val="0083344D"/>
    <w:rsid w:val="00833D36"/>
    <w:rsid w:val="008359B5"/>
    <w:rsid w:val="00844A10"/>
    <w:rsid w:val="00845B26"/>
    <w:rsid w:val="00850C4A"/>
    <w:rsid w:val="008531B5"/>
    <w:rsid w:val="008719B8"/>
    <w:rsid w:val="0087261D"/>
    <w:rsid w:val="00873A0F"/>
    <w:rsid w:val="00874B86"/>
    <w:rsid w:val="00877A5B"/>
    <w:rsid w:val="00884A23"/>
    <w:rsid w:val="00885721"/>
    <w:rsid w:val="0089149D"/>
    <w:rsid w:val="00892C65"/>
    <w:rsid w:val="00897939"/>
    <w:rsid w:val="008A23CB"/>
    <w:rsid w:val="008B019A"/>
    <w:rsid w:val="008B1118"/>
    <w:rsid w:val="008B1EE6"/>
    <w:rsid w:val="008B6179"/>
    <w:rsid w:val="008B6234"/>
    <w:rsid w:val="008B7918"/>
    <w:rsid w:val="008C17A5"/>
    <w:rsid w:val="008D56B1"/>
    <w:rsid w:val="008E04CB"/>
    <w:rsid w:val="008E05F6"/>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4F5"/>
    <w:rsid w:val="00956B0E"/>
    <w:rsid w:val="0096095E"/>
    <w:rsid w:val="00974732"/>
    <w:rsid w:val="00975BF5"/>
    <w:rsid w:val="00976EAF"/>
    <w:rsid w:val="0098127F"/>
    <w:rsid w:val="00986848"/>
    <w:rsid w:val="009877C0"/>
    <w:rsid w:val="00987A4A"/>
    <w:rsid w:val="00990EE4"/>
    <w:rsid w:val="009931E9"/>
    <w:rsid w:val="00996440"/>
    <w:rsid w:val="009A02B0"/>
    <w:rsid w:val="009A0A77"/>
    <w:rsid w:val="009A3B49"/>
    <w:rsid w:val="009A52F8"/>
    <w:rsid w:val="009A6512"/>
    <w:rsid w:val="009A6C2B"/>
    <w:rsid w:val="009B091C"/>
    <w:rsid w:val="009B6D01"/>
    <w:rsid w:val="009C2829"/>
    <w:rsid w:val="009C2B17"/>
    <w:rsid w:val="009C65BC"/>
    <w:rsid w:val="009D2F90"/>
    <w:rsid w:val="009D36E9"/>
    <w:rsid w:val="009D55B1"/>
    <w:rsid w:val="009E0224"/>
    <w:rsid w:val="009E1548"/>
    <w:rsid w:val="009E4D05"/>
    <w:rsid w:val="009E5FAD"/>
    <w:rsid w:val="009F19C8"/>
    <w:rsid w:val="009F504E"/>
    <w:rsid w:val="009F6435"/>
    <w:rsid w:val="009F7C23"/>
    <w:rsid w:val="00A109FA"/>
    <w:rsid w:val="00A1295B"/>
    <w:rsid w:val="00A211B2"/>
    <w:rsid w:val="00A2200E"/>
    <w:rsid w:val="00A24C8F"/>
    <w:rsid w:val="00A301CE"/>
    <w:rsid w:val="00A33081"/>
    <w:rsid w:val="00A44121"/>
    <w:rsid w:val="00A454B2"/>
    <w:rsid w:val="00A6456D"/>
    <w:rsid w:val="00A73B89"/>
    <w:rsid w:val="00A76BDE"/>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7F67"/>
    <w:rsid w:val="00AE72FD"/>
    <w:rsid w:val="00AF2AA4"/>
    <w:rsid w:val="00AF5DE4"/>
    <w:rsid w:val="00AF61B3"/>
    <w:rsid w:val="00B03D08"/>
    <w:rsid w:val="00B14985"/>
    <w:rsid w:val="00B20F58"/>
    <w:rsid w:val="00B21C31"/>
    <w:rsid w:val="00B25A59"/>
    <w:rsid w:val="00B26D15"/>
    <w:rsid w:val="00B32644"/>
    <w:rsid w:val="00B4271F"/>
    <w:rsid w:val="00B42916"/>
    <w:rsid w:val="00B4556F"/>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3F74"/>
    <w:rsid w:val="00C175F9"/>
    <w:rsid w:val="00C25165"/>
    <w:rsid w:val="00C270F3"/>
    <w:rsid w:val="00C30B6C"/>
    <w:rsid w:val="00C400DB"/>
    <w:rsid w:val="00C4125A"/>
    <w:rsid w:val="00C46906"/>
    <w:rsid w:val="00C50B15"/>
    <w:rsid w:val="00C53DFD"/>
    <w:rsid w:val="00C545D1"/>
    <w:rsid w:val="00C60C5A"/>
    <w:rsid w:val="00C61C42"/>
    <w:rsid w:val="00C70AA9"/>
    <w:rsid w:val="00C7271C"/>
    <w:rsid w:val="00C74D16"/>
    <w:rsid w:val="00C80144"/>
    <w:rsid w:val="00C8425F"/>
    <w:rsid w:val="00C9451D"/>
    <w:rsid w:val="00C946A6"/>
    <w:rsid w:val="00C954D2"/>
    <w:rsid w:val="00CA08F1"/>
    <w:rsid w:val="00CB2EB1"/>
    <w:rsid w:val="00CB3E9C"/>
    <w:rsid w:val="00CB52BA"/>
    <w:rsid w:val="00CB7A7D"/>
    <w:rsid w:val="00CC3714"/>
    <w:rsid w:val="00CC3E2F"/>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76ED"/>
    <w:rsid w:val="00DC1983"/>
    <w:rsid w:val="00DC4754"/>
    <w:rsid w:val="00DC69BA"/>
    <w:rsid w:val="00DD3522"/>
    <w:rsid w:val="00DD47A2"/>
    <w:rsid w:val="00DD5CA2"/>
    <w:rsid w:val="00DD739E"/>
    <w:rsid w:val="00DE0391"/>
    <w:rsid w:val="00DE2079"/>
    <w:rsid w:val="00DE2631"/>
    <w:rsid w:val="00DF0D21"/>
    <w:rsid w:val="00DF616F"/>
    <w:rsid w:val="00E0041B"/>
    <w:rsid w:val="00E00956"/>
    <w:rsid w:val="00E02442"/>
    <w:rsid w:val="00E02826"/>
    <w:rsid w:val="00E03985"/>
    <w:rsid w:val="00E11899"/>
    <w:rsid w:val="00E12CC3"/>
    <w:rsid w:val="00E17888"/>
    <w:rsid w:val="00E22481"/>
    <w:rsid w:val="00E2372A"/>
    <w:rsid w:val="00E30C47"/>
    <w:rsid w:val="00E35816"/>
    <w:rsid w:val="00E43487"/>
    <w:rsid w:val="00E44B9E"/>
    <w:rsid w:val="00E44ED1"/>
    <w:rsid w:val="00E603DE"/>
    <w:rsid w:val="00E625F4"/>
    <w:rsid w:val="00E76215"/>
    <w:rsid w:val="00E840C8"/>
    <w:rsid w:val="00E87236"/>
    <w:rsid w:val="00E87D19"/>
    <w:rsid w:val="00EA0165"/>
    <w:rsid w:val="00EB7D23"/>
    <w:rsid w:val="00EC490B"/>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2BB0"/>
    <w:rsid w:val="00F446B2"/>
    <w:rsid w:val="00F46838"/>
    <w:rsid w:val="00F46FF8"/>
    <w:rsid w:val="00F5234B"/>
    <w:rsid w:val="00F610ED"/>
    <w:rsid w:val="00F75CAB"/>
    <w:rsid w:val="00F8146E"/>
    <w:rsid w:val="00F900D9"/>
    <w:rsid w:val="00F90B4D"/>
    <w:rsid w:val="00F91275"/>
    <w:rsid w:val="00F91754"/>
    <w:rsid w:val="00F94D61"/>
    <w:rsid w:val="00F9573C"/>
    <w:rsid w:val="00F97CB0"/>
    <w:rsid w:val="00F97CB7"/>
    <w:rsid w:val="00F97CED"/>
    <w:rsid w:val="00FA0541"/>
    <w:rsid w:val="00FA1A08"/>
    <w:rsid w:val="00FA5C0E"/>
    <w:rsid w:val="00FA78D1"/>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177"/>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42230161">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942233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4026742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mailto:isvoice.operations@utmb.edu" TargetMode="External"/><Relationship Id="rId18" Type="http://schemas.openxmlformats.org/officeDocument/2006/relationships/image" Target="media/image8.png"/><Relationship Id="rId26" Type="http://schemas.openxmlformats.org/officeDocument/2006/relationships/hyperlink" Target="https://hr.utmb.edu/tod/elm/elm_instructions/" TargetMode="External"/><Relationship Id="rId3" Type="http://schemas.openxmlformats.org/officeDocument/2006/relationships/styles" Target="styles.xml"/><Relationship Id="rId21" Type="http://schemas.openxmlformats.org/officeDocument/2006/relationships/hyperlink" Target="mailto:kwhall@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utmb.us/224"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hr.utmb.edu/tod/learn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ntranet.utmb.edu/QHS/TheJointCommission/default.asp"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payroll.services@utmb.edu"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hr.utmb.edu/relations/performan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4.png"/><Relationship Id="rId22" Type="http://schemas.openxmlformats.org/officeDocument/2006/relationships/hyperlink" Target="https://ispace.utmb.edu/xythoswfs/webview/_xy-16928157_1" TargetMode="External"/><Relationship Id="rId27" Type="http://schemas.openxmlformats.org/officeDocument/2006/relationships/hyperlink" Target="http://www.myutflex.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438E-83BB-4F9D-BD57-F8D2C2ED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2017-08-03T16:03:00Z</cp:lastPrinted>
  <dcterms:created xsi:type="dcterms:W3CDTF">2017-08-08T19:04:00Z</dcterms:created>
  <dcterms:modified xsi:type="dcterms:W3CDTF">2017-08-08T19:04:00Z</dcterms:modified>
</cp:coreProperties>
</file>